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14E99" w14:textId="2512795B" w:rsidR="00BD2CDD" w:rsidRDefault="00BD2CDD" w:rsidP="00BD2CDD">
      <w:pPr>
        <w:jc w:val="center"/>
        <w:rPr>
          <w:rFonts w:ascii="Helvetica Neue" w:hAnsi="Helvetica Neue" w:cs="Calibri"/>
          <w:b/>
          <w:sz w:val="22"/>
          <w:szCs w:val="22"/>
        </w:rPr>
      </w:pPr>
      <w:bookmarkStart w:id="0" w:name="_GoBack"/>
      <w:bookmarkEnd w:id="0"/>
      <w:r>
        <w:rPr>
          <w:rFonts w:ascii="Helvetica Neue" w:hAnsi="Helvetica Neue" w:cs="Calibri"/>
          <w:b/>
          <w:sz w:val="22"/>
          <w:szCs w:val="22"/>
        </w:rPr>
        <w:t>Summary of the TEF questions in the Green Paper</w:t>
      </w:r>
    </w:p>
    <w:p w14:paraId="50C654AD" w14:textId="77777777" w:rsidR="00BD2CDD" w:rsidRDefault="00BD2CDD" w:rsidP="00BD2CDD">
      <w:pPr>
        <w:rPr>
          <w:rFonts w:ascii="Helvetica Neue" w:hAnsi="Helvetica Neue" w:cs="Calibri"/>
          <w:b/>
          <w:sz w:val="22"/>
          <w:szCs w:val="22"/>
        </w:rPr>
      </w:pPr>
    </w:p>
    <w:p w14:paraId="63AB48A9" w14:textId="62415108" w:rsidR="00BD2CDD" w:rsidRPr="00BD2CDD" w:rsidRDefault="00BD2CDD" w:rsidP="00BD2CDD">
      <w:pPr>
        <w:rPr>
          <w:rFonts w:ascii="Helvetica Neue" w:hAnsi="Helvetica Neue" w:cs="Calibri"/>
          <w:sz w:val="22"/>
          <w:szCs w:val="22"/>
        </w:rPr>
      </w:pPr>
      <w:r>
        <w:rPr>
          <w:rFonts w:ascii="Helvetica Neue" w:hAnsi="Helvetica Neue" w:cs="Calibri"/>
          <w:sz w:val="22"/>
          <w:szCs w:val="22"/>
        </w:rPr>
        <w:t xml:space="preserve">Each question has a short summary of the information from the Green Paper relating to it. Please consider what your response to each of these questions would be. </w:t>
      </w:r>
    </w:p>
    <w:p w14:paraId="58112703" w14:textId="77777777" w:rsidR="00BD2CDD" w:rsidRDefault="00BD2CDD" w:rsidP="00F8728A">
      <w:pPr>
        <w:rPr>
          <w:rFonts w:ascii="Helvetica Neue" w:hAnsi="Helvetica Neue" w:cs="Calibri"/>
          <w:b/>
          <w:sz w:val="22"/>
          <w:szCs w:val="22"/>
        </w:rPr>
      </w:pPr>
    </w:p>
    <w:p w14:paraId="745A039F" w14:textId="25D49878" w:rsidR="00F8728A" w:rsidRPr="00F8728A" w:rsidRDefault="00F8728A" w:rsidP="00F8728A">
      <w:pPr>
        <w:rPr>
          <w:rFonts w:ascii="Helvetica Neue" w:hAnsi="Helvetica Neue" w:cs="Calibri"/>
          <w:b/>
          <w:sz w:val="22"/>
          <w:szCs w:val="22"/>
        </w:rPr>
      </w:pPr>
      <w:r w:rsidRPr="00F8728A">
        <w:rPr>
          <w:rFonts w:ascii="Helvetica Neue" w:hAnsi="Helvetica Neue" w:cs="Calibri"/>
          <w:b/>
          <w:sz w:val="22"/>
          <w:szCs w:val="22"/>
        </w:rPr>
        <w:t xml:space="preserve">Question 2: How can information from the TEF </w:t>
      </w:r>
      <w:proofErr w:type="gramStart"/>
      <w:r w:rsidRPr="00F8728A">
        <w:rPr>
          <w:rFonts w:ascii="Helvetica Neue" w:hAnsi="Helvetica Neue" w:cs="Calibri"/>
          <w:b/>
          <w:sz w:val="22"/>
          <w:szCs w:val="22"/>
        </w:rPr>
        <w:t>be</w:t>
      </w:r>
      <w:proofErr w:type="gramEnd"/>
      <w:r w:rsidRPr="00F8728A">
        <w:rPr>
          <w:rFonts w:ascii="Helvetica Neue" w:hAnsi="Helvetica Neue" w:cs="Calibri"/>
          <w:b/>
          <w:sz w:val="22"/>
          <w:szCs w:val="22"/>
        </w:rPr>
        <w:t xml:space="preserve"> used to better inform student and employer decision making? Please quantify these benefits as far as you can.</w:t>
      </w:r>
    </w:p>
    <w:p w14:paraId="0F65F812" w14:textId="015F9EDB" w:rsidR="004F758A" w:rsidRPr="003A5ABA" w:rsidRDefault="004F758A" w:rsidP="001B3202">
      <w:pPr>
        <w:pStyle w:val="ListParagraph"/>
        <w:numPr>
          <w:ilvl w:val="0"/>
          <w:numId w:val="1"/>
        </w:numPr>
        <w:rPr>
          <w:rFonts w:ascii="Helvetica Neue" w:hAnsi="Helvetica Neue" w:cs="Calibri"/>
          <w:i/>
          <w:sz w:val="22"/>
          <w:szCs w:val="22"/>
        </w:rPr>
      </w:pPr>
      <w:r w:rsidRPr="003A5ABA">
        <w:rPr>
          <w:rFonts w:ascii="Helvetica Neue" w:hAnsi="Helvetica Neue" w:cs="Calibri"/>
          <w:i/>
          <w:sz w:val="22"/>
          <w:szCs w:val="22"/>
        </w:rPr>
        <w:t>providing students with accessible and clear information to judge teaching quality across courses and disciplines – in the same way they can already compare a department’s research rating</w:t>
      </w:r>
    </w:p>
    <w:p w14:paraId="75785EAA" w14:textId="54923159" w:rsidR="00F8728A" w:rsidRPr="003A5ABA" w:rsidRDefault="004F758A" w:rsidP="001B3202">
      <w:pPr>
        <w:pStyle w:val="ListParagraph"/>
        <w:numPr>
          <w:ilvl w:val="0"/>
          <w:numId w:val="1"/>
        </w:numPr>
        <w:rPr>
          <w:rFonts w:ascii="Helvetica Neue" w:hAnsi="Helvetica Neue" w:cs="Calibri"/>
          <w:i/>
          <w:sz w:val="22"/>
          <w:szCs w:val="22"/>
        </w:rPr>
      </w:pPr>
      <w:proofErr w:type="gramStart"/>
      <w:r w:rsidRPr="003A5ABA">
        <w:rPr>
          <w:rFonts w:ascii="Helvetica Neue" w:hAnsi="Helvetica Neue" w:cs="Calibri"/>
          <w:i/>
          <w:sz w:val="22"/>
          <w:szCs w:val="22"/>
        </w:rPr>
        <w:t>enable</w:t>
      </w:r>
      <w:proofErr w:type="gramEnd"/>
      <w:r w:rsidRPr="003A5ABA">
        <w:rPr>
          <w:rFonts w:ascii="Helvetica Neue" w:hAnsi="Helvetica Neue" w:cs="Calibri"/>
          <w:i/>
          <w:sz w:val="22"/>
          <w:szCs w:val="22"/>
        </w:rPr>
        <w:t xml:space="preserve"> employers to make more informed choices about the graduates they recruit, providing better understanding of the range of skills and knowledge they bring from their course, and deliver graduates who are more work ready following an active engagement in their studies.</w:t>
      </w:r>
    </w:p>
    <w:p w14:paraId="331525D2" w14:textId="77777777" w:rsidR="00F8728A" w:rsidRPr="00F8728A" w:rsidRDefault="00F8728A" w:rsidP="00F8728A">
      <w:pPr>
        <w:rPr>
          <w:rFonts w:ascii="Helvetica Neue" w:hAnsi="Helvetica Neue" w:cs="Calibri"/>
          <w:sz w:val="22"/>
          <w:szCs w:val="22"/>
        </w:rPr>
      </w:pPr>
    </w:p>
    <w:p w14:paraId="3C49EDF6" w14:textId="77777777" w:rsidR="00F8728A" w:rsidRDefault="00F8728A" w:rsidP="00F8728A">
      <w:pPr>
        <w:rPr>
          <w:rFonts w:ascii="Helvetica Neue" w:hAnsi="Helvetica Neue" w:cs="Calibri"/>
          <w:b/>
          <w:sz w:val="22"/>
          <w:szCs w:val="22"/>
        </w:rPr>
      </w:pPr>
      <w:r w:rsidRPr="004F758A">
        <w:rPr>
          <w:rFonts w:ascii="Helvetica Neue" w:hAnsi="Helvetica Neue" w:cs="Calibri"/>
          <w:b/>
          <w:sz w:val="22"/>
          <w:szCs w:val="22"/>
        </w:rPr>
        <w:t xml:space="preserve">Question 3: Do you agree that the ambition for TEF should be that it is open to all HE providers, all disciplines, all modes of delivery and all levels?  Please give reasons for your answers. </w:t>
      </w:r>
    </w:p>
    <w:p w14:paraId="3A5C6EEC" w14:textId="7CEA4203" w:rsidR="004D58E9" w:rsidRPr="003A5ABA" w:rsidRDefault="004D58E9" w:rsidP="001B3202">
      <w:pPr>
        <w:pStyle w:val="ListParagraph"/>
        <w:numPr>
          <w:ilvl w:val="0"/>
          <w:numId w:val="2"/>
        </w:numPr>
        <w:rPr>
          <w:rFonts w:ascii="Helvetica Neue" w:hAnsi="Helvetica Neue" w:cs="Calibri"/>
          <w:i/>
          <w:sz w:val="22"/>
          <w:szCs w:val="22"/>
        </w:rPr>
      </w:pPr>
      <w:r w:rsidRPr="003A5ABA">
        <w:rPr>
          <w:rFonts w:ascii="Helvetica Neue" w:hAnsi="Helvetica Neue" w:cs="Calibri"/>
          <w:i/>
          <w:sz w:val="22"/>
          <w:szCs w:val="22"/>
        </w:rPr>
        <w:t>TEF develops over time to be comprehensive and open to all HE providers in England, including alternative providers and further education colleges delivering HE provision.</w:t>
      </w:r>
    </w:p>
    <w:p w14:paraId="32067991" w14:textId="77777777" w:rsidR="004D58E9" w:rsidRPr="003A5ABA" w:rsidRDefault="004D58E9" w:rsidP="001B3202">
      <w:pPr>
        <w:pStyle w:val="ListParagraph"/>
        <w:numPr>
          <w:ilvl w:val="0"/>
          <w:numId w:val="2"/>
        </w:numPr>
        <w:rPr>
          <w:rFonts w:ascii="Helvetica Neue" w:hAnsi="Helvetica Neue" w:cs="Calibri"/>
          <w:i/>
          <w:sz w:val="22"/>
          <w:szCs w:val="22"/>
        </w:rPr>
      </w:pPr>
      <w:r w:rsidRPr="003A5ABA">
        <w:rPr>
          <w:rFonts w:ascii="Helvetica Neue" w:hAnsi="Helvetica Neue" w:cs="Calibri"/>
          <w:i/>
          <w:sz w:val="22"/>
          <w:szCs w:val="22"/>
        </w:rPr>
        <w:t xml:space="preserve">We would like all subjects or subject areas (disciplines) and all types of delivery (full-time, part-time, work-based, distance and blended learning), in the TEF assessment.  This should include degree apprenticeships which are an exciting new venture for providers of all kinds working in partnership with employers and professional bodies. </w:t>
      </w:r>
    </w:p>
    <w:p w14:paraId="01479667" w14:textId="41F367E6" w:rsidR="004D58E9" w:rsidRPr="003A5ABA" w:rsidRDefault="004D58E9" w:rsidP="001B3202">
      <w:pPr>
        <w:pStyle w:val="ListParagraph"/>
        <w:numPr>
          <w:ilvl w:val="0"/>
          <w:numId w:val="2"/>
        </w:numPr>
        <w:rPr>
          <w:rFonts w:ascii="Helvetica Neue" w:hAnsi="Helvetica Neue" w:cs="Calibri"/>
          <w:b/>
          <w:i/>
          <w:sz w:val="22"/>
          <w:szCs w:val="22"/>
        </w:rPr>
      </w:pPr>
      <w:r w:rsidRPr="003A5ABA">
        <w:rPr>
          <w:rFonts w:ascii="Helvetica Neue" w:hAnsi="Helvetica Neue" w:cs="Calibri"/>
          <w:i/>
          <w:sz w:val="22"/>
          <w:szCs w:val="22"/>
        </w:rPr>
        <w:t>In time, we would also like TEF to be open to all levels in the Framework for Higher Education Qualifications (undergraduate and taught postgraduate</w:t>
      </w:r>
      <w:r w:rsidRPr="003A5ABA">
        <w:rPr>
          <w:i/>
        </w:rPr>
        <w:t>).</w:t>
      </w:r>
    </w:p>
    <w:p w14:paraId="4D58B651" w14:textId="77777777" w:rsidR="00F8728A" w:rsidRPr="00F8728A" w:rsidRDefault="00F8728A" w:rsidP="00F8728A">
      <w:pPr>
        <w:rPr>
          <w:rFonts w:ascii="Helvetica Neue" w:hAnsi="Helvetica Neue" w:cs="Calibri"/>
          <w:sz w:val="22"/>
          <w:szCs w:val="22"/>
        </w:rPr>
      </w:pPr>
    </w:p>
    <w:p w14:paraId="7B3AD24D" w14:textId="77777777" w:rsidR="00F8728A" w:rsidRDefault="00F8728A" w:rsidP="00F8728A">
      <w:pPr>
        <w:rPr>
          <w:rFonts w:ascii="Helvetica Neue" w:hAnsi="Helvetica Neue" w:cs="Calibri"/>
          <w:b/>
          <w:sz w:val="22"/>
          <w:szCs w:val="22"/>
        </w:rPr>
      </w:pPr>
      <w:r w:rsidRPr="004D58E9">
        <w:rPr>
          <w:rFonts w:ascii="Helvetica Neue" w:hAnsi="Helvetica Neue" w:cs="Calibri"/>
          <w:b/>
          <w:sz w:val="22"/>
          <w:szCs w:val="22"/>
        </w:rPr>
        <w:t xml:space="preserve">Question 4: Where relevant, should an approved Access Agreement be a pre-requisite for a TEF award? What other mechanism might be used for different types of providers? </w:t>
      </w:r>
    </w:p>
    <w:p w14:paraId="5C10DC29" w14:textId="0D30D5D2" w:rsidR="004F41D9" w:rsidRPr="003A5ABA" w:rsidRDefault="004F41D9" w:rsidP="001B3202">
      <w:pPr>
        <w:pStyle w:val="ListParagraph"/>
        <w:numPr>
          <w:ilvl w:val="0"/>
          <w:numId w:val="2"/>
        </w:numPr>
        <w:rPr>
          <w:rFonts w:ascii="Helvetica Neue" w:hAnsi="Helvetica Neue" w:cs="Calibri"/>
          <w:i/>
          <w:sz w:val="22"/>
          <w:szCs w:val="22"/>
        </w:rPr>
      </w:pPr>
      <w:r w:rsidRPr="003A5ABA">
        <w:rPr>
          <w:rFonts w:ascii="Helvetica Neue" w:hAnsi="Helvetica Neue" w:cs="Calibri"/>
          <w:i/>
          <w:sz w:val="22"/>
          <w:szCs w:val="22"/>
        </w:rPr>
        <w:t xml:space="preserve">TEF should recognise institutions’ track record, and that eligibility for the TEF should be contingent on having measures in place to facilitate the access and success of disadvantaged groups.  </w:t>
      </w:r>
    </w:p>
    <w:p w14:paraId="55984662" w14:textId="4DD1097F" w:rsidR="004F41D9" w:rsidRPr="003A5ABA" w:rsidRDefault="004F41D9" w:rsidP="001B3202">
      <w:pPr>
        <w:pStyle w:val="ListParagraph"/>
        <w:numPr>
          <w:ilvl w:val="0"/>
          <w:numId w:val="2"/>
        </w:numPr>
        <w:rPr>
          <w:rFonts w:ascii="Helvetica Neue" w:hAnsi="Helvetica Neue" w:cs="Calibri"/>
          <w:i/>
          <w:sz w:val="22"/>
          <w:szCs w:val="22"/>
        </w:rPr>
      </w:pPr>
      <w:r w:rsidRPr="003A5ABA">
        <w:rPr>
          <w:rFonts w:ascii="Helvetica Neue" w:hAnsi="Helvetica Neue" w:cs="Calibri"/>
          <w:i/>
          <w:sz w:val="22"/>
          <w:szCs w:val="22"/>
        </w:rPr>
        <w:t>metrics in the TEF will be broken down and reported by disadvantaged backgrounds and under-represented groups</w:t>
      </w:r>
    </w:p>
    <w:p w14:paraId="5F5710C6" w14:textId="77777777" w:rsidR="00F8728A" w:rsidRPr="00F8728A" w:rsidRDefault="00F8728A" w:rsidP="00F8728A">
      <w:pPr>
        <w:rPr>
          <w:rFonts w:ascii="Helvetica Neue" w:hAnsi="Helvetica Neue" w:cs="Calibri"/>
          <w:sz w:val="22"/>
          <w:szCs w:val="22"/>
        </w:rPr>
      </w:pPr>
    </w:p>
    <w:p w14:paraId="1AA2CF4F" w14:textId="77777777" w:rsidR="00F8728A" w:rsidRPr="004F41D9" w:rsidRDefault="00F8728A" w:rsidP="00F8728A">
      <w:pPr>
        <w:rPr>
          <w:rFonts w:ascii="Helvetica Neue" w:hAnsi="Helvetica Neue" w:cs="Calibri"/>
          <w:b/>
          <w:sz w:val="22"/>
          <w:szCs w:val="22"/>
        </w:rPr>
      </w:pPr>
      <w:r w:rsidRPr="004F41D9">
        <w:rPr>
          <w:rFonts w:ascii="Helvetica Neue" w:hAnsi="Helvetica Neue" w:cs="Calibri"/>
          <w:b/>
          <w:sz w:val="22"/>
          <w:szCs w:val="22"/>
        </w:rPr>
        <w:t xml:space="preserve">Question 5: Do you agree with the proposals on: </w:t>
      </w:r>
    </w:p>
    <w:p w14:paraId="72F7BC93" w14:textId="2BD93FB8" w:rsidR="00F8728A" w:rsidRPr="003A5ABA" w:rsidRDefault="003A5ABA" w:rsidP="003A5ABA">
      <w:pPr>
        <w:rPr>
          <w:rFonts w:ascii="Helvetica Neue" w:hAnsi="Helvetica Neue" w:cs="Calibri"/>
          <w:b/>
          <w:sz w:val="22"/>
          <w:szCs w:val="22"/>
        </w:rPr>
      </w:pPr>
      <w:r w:rsidRPr="003A5ABA">
        <w:rPr>
          <w:rFonts w:ascii="Helvetica Neue" w:hAnsi="Helvetica Neue" w:cs="Calibri"/>
          <w:b/>
          <w:sz w:val="22"/>
          <w:szCs w:val="22"/>
        </w:rPr>
        <w:t>a)</w:t>
      </w:r>
      <w:r>
        <w:rPr>
          <w:rFonts w:ascii="Helvetica Neue" w:hAnsi="Helvetica Neue" w:cs="Calibri"/>
          <w:b/>
          <w:sz w:val="22"/>
          <w:szCs w:val="22"/>
        </w:rPr>
        <w:t xml:space="preserve">  </w:t>
      </w:r>
      <w:proofErr w:type="gramStart"/>
      <w:r w:rsidR="00F8728A" w:rsidRPr="003A5ABA">
        <w:rPr>
          <w:rFonts w:ascii="Helvetica Neue" w:hAnsi="Helvetica Neue" w:cs="Calibri"/>
          <w:b/>
          <w:sz w:val="22"/>
          <w:szCs w:val="22"/>
        </w:rPr>
        <w:t>what</w:t>
      </w:r>
      <w:proofErr w:type="gramEnd"/>
      <w:r w:rsidR="00F8728A" w:rsidRPr="003A5ABA">
        <w:rPr>
          <w:rFonts w:ascii="Helvetica Neue" w:hAnsi="Helvetica Neue" w:cs="Calibri"/>
          <w:b/>
          <w:sz w:val="22"/>
          <w:szCs w:val="22"/>
        </w:rPr>
        <w:t xml:space="preserve"> would constitute a ‘successful’ QA review </w:t>
      </w:r>
    </w:p>
    <w:p w14:paraId="4673121B" w14:textId="531ED1C0" w:rsidR="003A5ABA" w:rsidRPr="003A5ABA" w:rsidRDefault="003A5ABA" w:rsidP="001B3202">
      <w:pPr>
        <w:pStyle w:val="ListParagraph"/>
        <w:numPr>
          <w:ilvl w:val="0"/>
          <w:numId w:val="3"/>
        </w:numPr>
        <w:rPr>
          <w:rFonts w:ascii="Helvetica Neue" w:hAnsi="Helvetica Neue" w:cs="Calibri"/>
          <w:i/>
          <w:sz w:val="22"/>
          <w:szCs w:val="22"/>
        </w:rPr>
      </w:pPr>
      <w:r w:rsidRPr="003A5ABA">
        <w:rPr>
          <w:rFonts w:ascii="Helvetica Neue" w:hAnsi="Helvetica Neue" w:cs="Calibri"/>
          <w:i/>
          <w:sz w:val="22"/>
          <w:szCs w:val="22"/>
        </w:rPr>
        <w:t xml:space="preserve">the most recent review undertaken by the QAA or an equivalent review used for course designation (e.g. an ISI review);  published by the end of February 2016; </w:t>
      </w:r>
    </w:p>
    <w:p w14:paraId="478A721F" w14:textId="6061968E" w:rsidR="003A5ABA" w:rsidRPr="003A5ABA" w:rsidRDefault="003A5ABA" w:rsidP="001B3202">
      <w:pPr>
        <w:pStyle w:val="ListParagraph"/>
        <w:numPr>
          <w:ilvl w:val="0"/>
          <w:numId w:val="3"/>
        </w:numPr>
        <w:rPr>
          <w:rFonts w:ascii="Helvetica Neue" w:hAnsi="Helvetica Neue" w:cs="Calibri"/>
          <w:i/>
          <w:sz w:val="22"/>
          <w:szCs w:val="22"/>
        </w:rPr>
      </w:pPr>
      <w:r w:rsidRPr="003A5ABA">
        <w:rPr>
          <w:rFonts w:ascii="Helvetica Neue" w:hAnsi="Helvetica Neue" w:cs="Calibri"/>
          <w:i/>
          <w:sz w:val="22"/>
          <w:szCs w:val="22"/>
        </w:rPr>
        <w:t xml:space="preserve">a judgement of “meets UK expectations” or higher (for example, commended) for each of the four areas which are setting and maintaining academic standards, provision of learning opportunities, provision of information about learning opportunities and enhancement of quality of students’ learning opportunities. </w:t>
      </w:r>
    </w:p>
    <w:p w14:paraId="150C4CBB" w14:textId="77777777" w:rsidR="003A5ABA" w:rsidRPr="003A5ABA" w:rsidRDefault="003A5ABA" w:rsidP="003A5ABA"/>
    <w:p w14:paraId="250A3A0E" w14:textId="77777777" w:rsidR="00F8728A" w:rsidRDefault="00F8728A" w:rsidP="00F8728A">
      <w:pPr>
        <w:rPr>
          <w:rFonts w:ascii="Helvetica Neue" w:hAnsi="Helvetica Neue" w:cs="Calibri"/>
          <w:b/>
          <w:sz w:val="22"/>
          <w:szCs w:val="22"/>
        </w:rPr>
      </w:pPr>
      <w:r w:rsidRPr="004F41D9">
        <w:rPr>
          <w:rFonts w:ascii="Helvetica Neue" w:hAnsi="Helvetica Neue" w:cs="Calibri"/>
          <w:b/>
          <w:sz w:val="22"/>
          <w:szCs w:val="22"/>
        </w:rPr>
        <w:t xml:space="preserve">b)  </w:t>
      </w:r>
      <w:proofErr w:type="gramStart"/>
      <w:r w:rsidRPr="004F41D9">
        <w:rPr>
          <w:rFonts w:ascii="Helvetica Neue" w:hAnsi="Helvetica Neue" w:cs="Calibri"/>
          <w:b/>
          <w:sz w:val="22"/>
          <w:szCs w:val="22"/>
        </w:rPr>
        <w:t>the</w:t>
      </w:r>
      <w:proofErr w:type="gramEnd"/>
      <w:r w:rsidRPr="004F41D9">
        <w:rPr>
          <w:rFonts w:ascii="Helvetica Neue" w:hAnsi="Helvetica Neue" w:cs="Calibri"/>
          <w:b/>
          <w:sz w:val="22"/>
          <w:szCs w:val="22"/>
        </w:rPr>
        <w:t xml:space="preserve"> incentives that should be open to alternative providers for the first year of the TEF </w:t>
      </w:r>
    </w:p>
    <w:p w14:paraId="0778BB0E" w14:textId="27CF4789" w:rsidR="003A5ABA" w:rsidRPr="003A5ABA" w:rsidRDefault="003A5ABA" w:rsidP="001B3202">
      <w:pPr>
        <w:pStyle w:val="ListParagraph"/>
        <w:numPr>
          <w:ilvl w:val="0"/>
          <w:numId w:val="4"/>
        </w:numPr>
        <w:rPr>
          <w:rFonts w:ascii="Helvetica Neue" w:hAnsi="Helvetica Neue" w:cs="Calibri"/>
          <w:i/>
          <w:sz w:val="22"/>
          <w:szCs w:val="22"/>
        </w:rPr>
      </w:pPr>
      <w:r w:rsidRPr="003A5ABA">
        <w:rPr>
          <w:rFonts w:ascii="Helvetica Neue" w:hAnsi="Helvetica Neue" w:cs="Calibri"/>
          <w:i/>
          <w:sz w:val="22"/>
          <w:szCs w:val="22"/>
        </w:rPr>
        <w:t xml:space="preserve">We will set a maximum fee cap for those institutions successful in TEF and providers will be entitled to raise their fees in line with inflation up to this amount for new students from 2017/18. </w:t>
      </w:r>
    </w:p>
    <w:p w14:paraId="3DACC35B" w14:textId="77777777" w:rsidR="003A5ABA" w:rsidRPr="003A5ABA" w:rsidRDefault="003A5ABA" w:rsidP="001B3202">
      <w:pPr>
        <w:pStyle w:val="ListParagraph"/>
        <w:numPr>
          <w:ilvl w:val="0"/>
          <w:numId w:val="4"/>
        </w:numPr>
        <w:rPr>
          <w:rFonts w:ascii="Helvetica Neue" w:hAnsi="Helvetica Neue" w:cs="Calibri"/>
          <w:i/>
          <w:sz w:val="22"/>
          <w:szCs w:val="22"/>
        </w:rPr>
      </w:pPr>
      <w:r w:rsidRPr="003A5ABA">
        <w:rPr>
          <w:rFonts w:ascii="Helvetica Neue" w:hAnsi="Helvetica Neue" w:cs="Calibri"/>
          <w:i/>
          <w:sz w:val="22"/>
          <w:szCs w:val="22"/>
        </w:rPr>
        <w:t xml:space="preserve">We will mirror this approach for alternative providers (with specific course designation or their own degree awarding powers (DAPs)) where they are delivering the majority of designated HE provision at level 6, who could have access to equivalent uplifts to the fee loan cap. Alternative providers without DAPs, who are currently subject to number controls, could alternatively be incentivised </w:t>
      </w:r>
      <w:r w:rsidRPr="003A5ABA">
        <w:rPr>
          <w:rFonts w:ascii="Helvetica Neue" w:hAnsi="Helvetica Neue" w:cs="Calibri"/>
          <w:i/>
          <w:sz w:val="22"/>
          <w:szCs w:val="22"/>
        </w:rPr>
        <w:lastRenderedPageBreak/>
        <w:t xml:space="preserve">through the AP Performance Pool (see Part B Chapter 1). Further Education Colleges who offer a majority of HE provision at level 6 and who have a current QAA review will also be eligible for the fee uplift. </w:t>
      </w:r>
    </w:p>
    <w:p w14:paraId="1AD99D54" w14:textId="77777777" w:rsidR="003A5ABA" w:rsidRPr="004F41D9" w:rsidRDefault="003A5ABA" w:rsidP="00F8728A">
      <w:pPr>
        <w:rPr>
          <w:rFonts w:ascii="Helvetica Neue" w:hAnsi="Helvetica Neue" w:cs="Calibri"/>
          <w:b/>
          <w:sz w:val="22"/>
          <w:szCs w:val="22"/>
        </w:rPr>
      </w:pPr>
    </w:p>
    <w:p w14:paraId="1461FF3C" w14:textId="77777777" w:rsidR="00F8728A" w:rsidRPr="004F41D9" w:rsidRDefault="00F8728A" w:rsidP="00F8728A">
      <w:pPr>
        <w:rPr>
          <w:rFonts w:ascii="Helvetica Neue" w:hAnsi="Helvetica Neue" w:cs="Calibri"/>
          <w:b/>
          <w:sz w:val="22"/>
          <w:szCs w:val="22"/>
        </w:rPr>
      </w:pPr>
      <w:r w:rsidRPr="004F41D9">
        <w:rPr>
          <w:rFonts w:ascii="Helvetica Neue" w:hAnsi="Helvetica Neue" w:cs="Calibri"/>
          <w:b/>
          <w:sz w:val="22"/>
          <w:szCs w:val="22"/>
        </w:rPr>
        <w:t xml:space="preserve">c)   </w:t>
      </w:r>
      <w:proofErr w:type="gramStart"/>
      <w:r w:rsidRPr="004F41D9">
        <w:rPr>
          <w:rFonts w:ascii="Helvetica Neue" w:hAnsi="Helvetica Neue" w:cs="Calibri"/>
          <w:b/>
          <w:sz w:val="22"/>
          <w:szCs w:val="22"/>
        </w:rPr>
        <w:t>the</w:t>
      </w:r>
      <w:proofErr w:type="gramEnd"/>
      <w:r w:rsidRPr="004F41D9">
        <w:rPr>
          <w:rFonts w:ascii="Helvetica Neue" w:hAnsi="Helvetica Neue" w:cs="Calibri"/>
          <w:b/>
          <w:sz w:val="22"/>
          <w:szCs w:val="22"/>
        </w:rPr>
        <w:t xml:space="preserve"> proposal to move to differentiated levels of TEF from year two?  </w:t>
      </w:r>
    </w:p>
    <w:p w14:paraId="0E89539A" w14:textId="77777777" w:rsidR="00F8728A" w:rsidRDefault="00F8728A" w:rsidP="00F8728A">
      <w:pPr>
        <w:rPr>
          <w:rFonts w:ascii="Helvetica Neue" w:hAnsi="Helvetica Neue" w:cs="Calibri"/>
          <w:b/>
          <w:sz w:val="22"/>
          <w:szCs w:val="22"/>
        </w:rPr>
      </w:pPr>
      <w:r w:rsidRPr="004F41D9">
        <w:rPr>
          <w:rFonts w:ascii="Helvetica Neue" w:hAnsi="Helvetica Neue" w:cs="Calibri"/>
          <w:b/>
          <w:sz w:val="22"/>
          <w:szCs w:val="22"/>
        </w:rPr>
        <w:t xml:space="preserve">Please give reasons for your answer.   </w:t>
      </w:r>
    </w:p>
    <w:p w14:paraId="1B909DDC" w14:textId="1D1AFC8C" w:rsidR="003A5ABA" w:rsidRPr="003A5ABA" w:rsidRDefault="003A5ABA" w:rsidP="001B3202">
      <w:pPr>
        <w:pStyle w:val="ListParagraph"/>
        <w:numPr>
          <w:ilvl w:val="0"/>
          <w:numId w:val="5"/>
        </w:numPr>
        <w:rPr>
          <w:rFonts w:ascii="Helvetica Neue" w:hAnsi="Helvetica Neue" w:cs="Calibri"/>
          <w:i/>
          <w:sz w:val="22"/>
          <w:szCs w:val="22"/>
        </w:rPr>
      </w:pPr>
      <w:r w:rsidRPr="003A5ABA">
        <w:rPr>
          <w:rFonts w:ascii="Helvetica Neue" w:hAnsi="Helvetica Neue" w:cs="Calibri"/>
          <w:i/>
          <w:sz w:val="22"/>
          <w:szCs w:val="22"/>
        </w:rPr>
        <w:t>In year two, we will award higher levels of TEF.  In order to achieve a higher level of award (for example levels 2 to 4), a provider would need to apply to be assessed, with outcomes of the assessment process to be announced in spring 2017</w:t>
      </w:r>
    </w:p>
    <w:p w14:paraId="2F573B29" w14:textId="299E0183" w:rsidR="003A5ABA" w:rsidRPr="003A5ABA" w:rsidRDefault="003A5ABA" w:rsidP="001B3202">
      <w:pPr>
        <w:pStyle w:val="ListParagraph"/>
        <w:numPr>
          <w:ilvl w:val="0"/>
          <w:numId w:val="5"/>
        </w:numPr>
        <w:rPr>
          <w:rFonts w:ascii="Helvetica Neue" w:hAnsi="Helvetica Neue" w:cs="Calibri"/>
          <w:i/>
          <w:sz w:val="22"/>
          <w:szCs w:val="22"/>
        </w:rPr>
      </w:pPr>
      <w:r w:rsidRPr="003A5ABA">
        <w:rPr>
          <w:rFonts w:ascii="Helvetica Neue" w:hAnsi="Helvetica Neue" w:cs="Calibri"/>
          <w:i/>
          <w:sz w:val="22"/>
          <w:szCs w:val="22"/>
        </w:rPr>
        <w:t>Consultation will be held on this in 2016</w:t>
      </w:r>
    </w:p>
    <w:p w14:paraId="2A2B637B" w14:textId="77777777" w:rsidR="00F8728A" w:rsidRPr="00F8728A" w:rsidRDefault="00F8728A" w:rsidP="00F8728A">
      <w:pPr>
        <w:rPr>
          <w:rFonts w:ascii="Helvetica Neue" w:hAnsi="Helvetica Neue" w:cs="Calibri"/>
          <w:sz w:val="22"/>
          <w:szCs w:val="22"/>
        </w:rPr>
      </w:pPr>
    </w:p>
    <w:p w14:paraId="75134883" w14:textId="77777777" w:rsidR="00A169B2" w:rsidRPr="00A169B2" w:rsidRDefault="00F8728A" w:rsidP="00A169B2">
      <w:pPr>
        <w:rPr>
          <w:rFonts w:ascii="Helvetica Neue" w:hAnsi="Helvetica Neue" w:cs="Calibri"/>
          <w:b/>
          <w:sz w:val="22"/>
          <w:szCs w:val="22"/>
        </w:rPr>
      </w:pPr>
      <w:r w:rsidRPr="003A5ABA">
        <w:rPr>
          <w:rFonts w:ascii="Helvetica Neue" w:hAnsi="Helvetica Neue" w:cs="Calibri"/>
          <w:b/>
          <w:sz w:val="22"/>
          <w:szCs w:val="22"/>
        </w:rPr>
        <w:t xml:space="preserve">Question 6: Do you agree with the proposed approach, including timing, assessment panels and process? Please give reasons for your answer.  </w:t>
      </w:r>
      <w:r w:rsidR="00A169B2" w:rsidRPr="00A169B2">
        <w:rPr>
          <w:rFonts w:ascii="Helvetica Neue" w:hAnsi="Helvetica Neue" w:cs="Calibri"/>
          <w:b/>
          <w:sz w:val="22"/>
          <w:szCs w:val="22"/>
        </w:rPr>
        <w:t xml:space="preserve">Question 7: How can we minimise any administrative burdens on institutions? Please provide any evidence relating to the potential administrative costs and benefits to Institutions of the proposals set out in this document. </w:t>
      </w:r>
    </w:p>
    <w:p w14:paraId="50E541B6" w14:textId="77777777" w:rsidR="0013314D" w:rsidRPr="006E63C4" w:rsidRDefault="0013314D" w:rsidP="001B3202">
      <w:pPr>
        <w:pStyle w:val="ListParagraph"/>
        <w:numPr>
          <w:ilvl w:val="0"/>
          <w:numId w:val="5"/>
        </w:numPr>
        <w:rPr>
          <w:rFonts w:ascii="Helvetica Neue" w:hAnsi="Helvetica Neue" w:cs="Calibri"/>
          <w:i/>
          <w:sz w:val="22"/>
          <w:szCs w:val="22"/>
        </w:rPr>
      </w:pPr>
      <w:r w:rsidRPr="006E63C4">
        <w:rPr>
          <w:rFonts w:ascii="Helvetica Neue" w:hAnsi="Helvetica Neue" w:cs="Calibri"/>
          <w:i/>
          <w:sz w:val="22"/>
          <w:szCs w:val="22"/>
        </w:rPr>
        <w:t xml:space="preserve">TEF assessments will be independent from Government. </w:t>
      </w:r>
    </w:p>
    <w:p w14:paraId="7FD1B82E" w14:textId="5F55D76C" w:rsidR="00A169B2" w:rsidRPr="006E63C4" w:rsidRDefault="00A169B2" w:rsidP="001B3202">
      <w:pPr>
        <w:pStyle w:val="ListParagraph"/>
        <w:numPr>
          <w:ilvl w:val="0"/>
          <w:numId w:val="5"/>
        </w:numPr>
        <w:rPr>
          <w:rFonts w:ascii="Helvetica Neue" w:hAnsi="Helvetica Neue" w:cs="Calibri"/>
          <w:i/>
          <w:sz w:val="22"/>
          <w:szCs w:val="22"/>
        </w:rPr>
      </w:pPr>
      <w:r w:rsidRPr="006E63C4">
        <w:rPr>
          <w:rFonts w:ascii="Helvetica Neue" w:hAnsi="Helvetica Neue" w:cs="Calibri"/>
          <w:i/>
          <w:sz w:val="22"/>
          <w:szCs w:val="22"/>
        </w:rPr>
        <w:t>TEF develops towards a 5 yearly award</w:t>
      </w:r>
    </w:p>
    <w:p w14:paraId="1E3AB3C2" w14:textId="75466EB8" w:rsidR="00A169B2" w:rsidRPr="006E63C4" w:rsidRDefault="006E63C4" w:rsidP="001B3202">
      <w:pPr>
        <w:pStyle w:val="ListParagraph"/>
        <w:numPr>
          <w:ilvl w:val="0"/>
          <w:numId w:val="5"/>
        </w:numPr>
        <w:rPr>
          <w:rFonts w:ascii="Helvetica Neue" w:hAnsi="Helvetica Neue" w:cs="Calibri"/>
          <w:i/>
          <w:sz w:val="22"/>
          <w:szCs w:val="22"/>
        </w:rPr>
      </w:pPr>
      <w:r>
        <w:rPr>
          <w:rFonts w:ascii="Helvetica Neue" w:hAnsi="Helvetica Neue" w:cs="Calibri"/>
          <w:i/>
          <w:sz w:val="22"/>
          <w:szCs w:val="22"/>
        </w:rPr>
        <w:t>P</w:t>
      </w:r>
      <w:r w:rsidR="00A169B2" w:rsidRPr="006E63C4">
        <w:rPr>
          <w:rFonts w:ascii="Helvetica Neue" w:hAnsi="Helvetica Neue" w:cs="Calibri"/>
          <w:i/>
          <w:sz w:val="22"/>
          <w:szCs w:val="22"/>
        </w:rPr>
        <w:t xml:space="preserve">roposing a rolling cycle of TEF assessments (as for current QA reviews) </w:t>
      </w:r>
      <w:r w:rsidRPr="006E63C4">
        <w:rPr>
          <w:rFonts w:ascii="Helvetica Neue" w:hAnsi="Helvetica Neue" w:cs="Calibri"/>
          <w:i/>
          <w:sz w:val="22"/>
          <w:szCs w:val="22"/>
        </w:rPr>
        <w:t>with an annual window for applications</w:t>
      </w:r>
      <w:r>
        <w:rPr>
          <w:rFonts w:ascii="Helvetica Neue" w:hAnsi="Helvetica Neue" w:cs="Calibri"/>
          <w:i/>
          <w:sz w:val="22"/>
          <w:szCs w:val="22"/>
        </w:rPr>
        <w:t>,</w:t>
      </w:r>
      <w:r w:rsidRPr="006E63C4">
        <w:rPr>
          <w:rFonts w:ascii="Helvetica Neue" w:hAnsi="Helvetica Neue" w:cs="Calibri"/>
          <w:i/>
          <w:sz w:val="22"/>
          <w:szCs w:val="22"/>
        </w:rPr>
        <w:t xml:space="preserve"> </w:t>
      </w:r>
      <w:r w:rsidR="00A169B2" w:rsidRPr="006E63C4">
        <w:rPr>
          <w:rFonts w:ascii="Helvetica Neue" w:hAnsi="Helvetica Neue" w:cs="Calibri"/>
          <w:i/>
          <w:sz w:val="22"/>
          <w:szCs w:val="22"/>
        </w:rPr>
        <w:t>as opposed to a periodic review</w:t>
      </w:r>
      <w:r>
        <w:rPr>
          <w:rFonts w:ascii="Helvetica Neue" w:hAnsi="Helvetica Neue" w:cs="Calibri"/>
          <w:i/>
          <w:sz w:val="22"/>
          <w:szCs w:val="22"/>
        </w:rPr>
        <w:t xml:space="preserve"> (like REF)</w:t>
      </w:r>
      <w:r w:rsidR="0013314D" w:rsidRPr="006E63C4">
        <w:rPr>
          <w:rFonts w:ascii="Helvetica Neue" w:hAnsi="Helvetica Neue" w:cs="Calibri"/>
          <w:i/>
          <w:sz w:val="22"/>
          <w:szCs w:val="22"/>
        </w:rPr>
        <w:t>.</w:t>
      </w:r>
    </w:p>
    <w:p w14:paraId="533153E8" w14:textId="07A1B715" w:rsidR="00A169B2" w:rsidRPr="006E63C4" w:rsidRDefault="006E63C4" w:rsidP="001B3202">
      <w:pPr>
        <w:pStyle w:val="ListParagraph"/>
        <w:numPr>
          <w:ilvl w:val="0"/>
          <w:numId w:val="5"/>
        </w:numPr>
        <w:rPr>
          <w:rFonts w:ascii="Helvetica Neue" w:hAnsi="Helvetica Neue" w:cs="Calibri"/>
          <w:i/>
          <w:sz w:val="22"/>
          <w:szCs w:val="22"/>
        </w:rPr>
      </w:pPr>
      <w:r>
        <w:rPr>
          <w:rFonts w:ascii="Helvetica Neue" w:hAnsi="Helvetica Neue" w:cs="Calibri"/>
          <w:i/>
          <w:sz w:val="22"/>
          <w:szCs w:val="22"/>
        </w:rPr>
        <w:t>Institutions</w:t>
      </w:r>
      <w:r w:rsidR="0013314D" w:rsidRPr="006E63C4">
        <w:rPr>
          <w:rFonts w:ascii="Helvetica Neue" w:hAnsi="Helvetica Neue" w:cs="Calibri"/>
          <w:i/>
          <w:sz w:val="22"/>
          <w:szCs w:val="22"/>
        </w:rPr>
        <w:t xml:space="preserve"> decide whether and when to apply for the higher levels of TEF</w:t>
      </w:r>
      <w:r>
        <w:rPr>
          <w:rFonts w:ascii="Helvetica Neue" w:hAnsi="Helvetica Neue" w:cs="Calibri"/>
          <w:i/>
          <w:sz w:val="22"/>
          <w:szCs w:val="22"/>
        </w:rPr>
        <w:t xml:space="preserve"> (beyond level 1)</w:t>
      </w:r>
    </w:p>
    <w:p w14:paraId="6470EAA3" w14:textId="517AAB2B" w:rsidR="0013314D" w:rsidRPr="006E63C4" w:rsidRDefault="006E63C4" w:rsidP="001B3202">
      <w:pPr>
        <w:pStyle w:val="ListParagraph"/>
        <w:numPr>
          <w:ilvl w:val="0"/>
          <w:numId w:val="5"/>
        </w:numPr>
        <w:rPr>
          <w:rFonts w:ascii="Helvetica Neue" w:hAnsi="Helvetica Neue" w:cs="Calibri"/>
          <w:i/>
          <w:sz w:val="22"/>
          <w:szCs w:val="22"/>
        </w:rPr>
      </w:pPr>
      <w:r>
        <w:rPr>
          <w:rFonts w:ascii="Helvetica Neue" w:hAnsi="Helvetica Neue" w:cs="Calibri"/>
          <w:i/>
          <w:sz w:val="22"/>
          <w:szCs w:val="22"/>
        </w:rPr>
        <w:t>I</w:t>
      </w:r>
      <w:r w:rsidR="0013314D" w:rsidRPr="006E63C4">
        <w:rPr>
          <w:rFonts w:ascii="Helvetica Neue" w:hAnsi="Helvetica Neue" w:cs="Calibri"/>
          <w:i/>
          <w:sz w:val="22"/>
          <w:szCs w:val="22"/>
        </w:rPr>
        <w:t>nstitution</w:t>
      </w:r>
      <w:r>
        <w:rPr>
          <w:rFonts w:ascii="Helvetica Neue" w:hAnsi="Helvetica Neue" w:cs="Calibri"/>
          <w:i/>
          <w:sz w:val="22"/>
          <w:szCs w:val="22"/>
        </w:rPr>
        <w:t>s</w:t>
      </w:r>
      <w:r w:rsidR="0013314D" w:rsidRPr="006E63C4">
        <w:rPr>
          <w:rFonts w:ascii="Helvetica Neue" w:hAnsi="Helvetica Neue" w:cs="Calibri"/>
          <w:i/>
          <w:sz w:val="22"/>
          <w:szCs w:val="22"/>
        </w:rPr>
        <w:t xml:space="preserve"> will want to consider the range of evidence it wishes to submit alongside the common metrics</w:t>
      </w:r>
    </w:p>
    <w:p w14:paraId="448EE6A9" w14:textId="6E4A9198" w:rsidR="0013314D" w:rsidRPr="006E63C4" w:rsidRDefault="006E63C4" w:rsidP="001B3202">
      <w:pPr>
        <w:pStyle w:val="ListParagraph"/>
        <w:numPr>
          <w:ilvl w:val="0"/>
          <w:numId w:val="5"/>
        </w:numPr>
        <w:rPr>
          <w:rFonts w:ascii="Helvetica Neue" w:hAnsi="Helvetica Neue" w:cs="Calibri"/>
          <w:i/>
          <w:sz w:val="22"/>
          <w:szCs w:val="22"/>
        </w:rPr>
      </w:pPr>
      <w:r>
        <w:rPr>
          <w:rFonts w:ascii="Helvetica Neue" w:hAnsi="Helvetica Neue" w:cs="Calibri"/>
          <w:i/>
          <w:sz w:val="22"/>
          <w:szCs w:val="22"/>
        </w:rPr>
        <w:t>I</w:t>
      </w:r>
      <w:r w:rsidR="0013314D" w:rsidRPr="006E63C4">
        <w:rPr>
          <w:rFonts w:ascii="Helvetica Neue" w:hAnsi="Helvetica Neue" w:cs="Calibri"/>
          <w:i/>
          <w:sz w:val="22"/>
          <w:szCs w:val="22"/>
        </w:rPr>
        <w:t>nstitutions would be expected to bear the cost of the TEF assessment process</w:t>
      </w:r>
    </w:p>
    <w:p w14:paraId="221059B8" w14:textId="77777777" w:rsidR="006E63C4" w:rsidRPr="006E63C4" w:rsidRDefault="0013314D" w:rsidP="001B3202">
      <w:pPr>
        <w:pStyle w:val="ListParagraph"/>
        <w:numPr>
          <w:ilvl w:val="0"/>
          <w:numId w:val="5"/>
        </w:numPr>
        <w:rPr>
          <w:rFonts w:ascii="Helvetica Neue" w:hAnsi="Helvetica Neue" w:cs="Calibri"/>
          <w:i/>
          <w:sz w:val="22"/>
          <w:szCs w:val="22"/>
        </w:rPr>
      </w:pPr>
      <w:r w:rsidRPr="006E63C4">
        <w:rPr>
          <w:rFonts w:ascii="Helvetica Neue" w:hAnsi="Helvetica Neue" w:cs="Calibri"/>
          <w:i/>
          <w:sz w:val="22"/>
          <w:szCs w:val="22"/>
        </w:rPr>
        <w:t xml:space="preserve">TEF judgements will be made by a panel of independent experts against an assessment framework, based on the evidence submitted (metrics and other additional evidence supplied by institutions). </w:t>
      </w:r>
    </w:p>
    <w:p w14:paraId="27198888" w14:textId="2E1BE2C2" w:rsidR="0013314D" w:rsidRPr="006E63C4" w:rsidRDefault="006E63C4" w:rsidP="001B3202">
      <w:pPr>
        <w:pStyle w:val="ListParagraph"/>
        <w:numPr>
          <w:ilvl w:val="0"/>
          <w:numId w:val="5"/>
        </w:numPr>
        <w:rPr>
          <w:rFonts w:ascii="Helvetica Neue" w:hAnsi="Helvetica Neue" w:cs="Calibri"/>
          <w:i/>
          <w:sz w:val="22"/>
          <w:szCs w:val="22"/>
        </w:rPr>
      </w:pPr>
      <w:r w:rsidRPr="006E63C4">
        <w:rPr>
          <w:rFonts w:ascii="Helvetica Neue" w:hAnsi="Helvetica Neue" w:cs="Calibri"/>
          <w:i/>
          <w:sz w:val="22"/>
          <w:szCs w:val="22"/>
        </w:rPr>
        <w:t>Visits are not proposed to make up part of the assessment</w:t>
      </w:r>
      <w:r w:rsidR="0013314D" w:rsidRPr="006E63C4">
        <w:rPr>
          <w:rFonts w:ascii="Helvetica Neue" w:hAnsi="Helvetica Neue" w:cs="Calibri"/>
          <w:i/>
          <w:sz w:val="22"/>
          <w:szCs w:val="22"/>
        </w:rPr>
        <w:t xml:space="preserve"> </w:t>
      </w:r>
    </w:p>
    <w:p w14:paraId="14896C54" w14:textId="19978294" w:rsidR="0013314D" w:rsidRPr="006E63C4" w:rsidRDefault="0013314D" w:rsidP="001B3202">
      <w:pPr>
        <w:pStyle w:val="ListParagraph"/>
        <w:numPr>
          <w:ilvl w:val="0"/>
          <w:numId w:val="5"/>
        </w:numPr>
        <w:rPr>
          <w:rFonts w:ascii="Helvetica Neue" w:hAnsi="Helvetica Neue" w:cs="Calibri"/>
          <w:i/>
          <w:sz w:val="22"/>
          <w:szCs w:val="22"/>
        </w:rPr>
      </w:pPr>
      <w:r w:rsidRPr="006E63C4">
        <w:rPr>
          <w:rFonts w:ascii="Helvetica Neue" w:hAnsi="Helvetica Neue" w:cs="Calibri"/>
          <w:i/>
          <w:sz w:val="22"/>
          <w:szCs w:val="22"/>
        </w:rPr>
        <w:t>Panels will be made up of a balance of academic experts in learning and teaching, student representatives, and employer/professional representatives. In time, it is envisaged that panels will be convened for each discipline (subject) – may be a need for moderation across panels.</w:t>
      </w:r>
    </w:p>
    <w:p w14:paraId="62E47DE8" w14:textId="72BF204B" w:rsidR="0013314D" w:rsidRPr="006E63C4" w:rsidRDefault="0013314D" w:rsidP="001B3202">
      <w:pPr>
        <w:pStyle w:val="ListParagraph"/>
        <w:numPr>
          <w:ilvl w:val="0"/>
          <w:numId w:val="5"/>
        </w:numPr>
        <w:rPr>
          <w:rFonts w:ascii="Helvetica Neue" w:hAnsi="Helvetica Neue" w:cs="Calibri"/>
          <w:i/>
          <w:sz w:val="22"/>
          <w:szCs w:val="22"/>
        </w:rPr>
      </w:pPr>
      <w:r w:rsidRPr="006E63C4">
        <w:rPr>
          <w:rFonts w:ascii="Helvetica Neue" w:hAnsi="Helvetica Neue" w:cs="Calibri"/>
          <w:i/>
          <w:sz w:val="22"/>
          <w:szCs w:val="22"/>
        </w:rPr>
        <w:t>we are considering whether the panel’s judgement on each of the criteria should be published</w:t>
      </w:r>
    </w:p>
    <w:p w14:paraId="187DE403" w14:textId="5B50FE45" w:rsidR="0013314D" w:rsidRPr="006E63C4" w:rsidRDefault="0013314D" w:rsidP="001B3202">
      <w:pPr>
        <w:pStyle w:val="ListParagraph"/>
        <w:numPr>
          <w:ilvl w:val="0"/>
          <w:numId w:val="5"/>
        </w:numPr>
        <w:rPr>
          <w:rFonts w:ascii="Helvetica Neue" w:hAnsi="Helvetica Neue" w:cs="Calibri"/>
          <w:i/>
          <w:sz w:val="22"/>
          <w:szCs w:val="22"/>
        </w:rPr>
      </w:pPr>
      <w:r w:rsidRPr="006E63C4">
        <w:rPr>
          <w:rFonts w:ascii="Helvetica Neue" w:hAnsi="Helvetica Neue" w:cs="Calibri"/>
          <w:i/>
          <w:sz w:val="22"/>
          <w:szCs w:val="22"/>
        </w:rPr>
        <w:t>considering development of an appeals process</w:t>
      </w:r>
    </w:p>
    <w:p w14:paraId="5D944092" w14:textId="77777777" w:rsidR="00F8728A" w:rsidRPr="00F8728A" w:rsidRDefault="00F8728A" w:rsidP="00F8728A">
      <w:pPr>
        <w:rPr>
          <w:rFonts w:ascii="Helvetica Neue" w:hAnsi="Helvetica Neue" w:cs="Calibri"/>
          <w:sz w:val="22"/>
          <w:szCs w:val="22"/>
        </w:rPr>
      </w:pPr>
    </w:p>
    <w:p w14:paraId="1B7E078B" w14:textId="77777777" w:rsidR="00F8728A" w:rsidRPr="00F8728A" w:rsidRDefault="00F8728A" w:rsidP="00F8728A">
      <w:pPr>
        <w:rPr>
          <w:rFonts w:ascii="Helvetica Neue" w:hAnsi="Helvetica Neue" w:cs="Calibri"/>
          <w:sz w:val="22"/>
          <w:szCs w:val="22"/>
        </w:rPr>
      </w:pPr>
    </w:p>
    <w:p w14:paraId="08B5BF25" w14:textId="77777777" w:rsidR="00F8728A" w:rsidRDefault="00F8728A" w:rsidP="00F8728A">
      <w:pPr>
        <w:rPr>
          <w:rFonts w:ascii="Helvetica Neue" w:hAnsi="Helvetica Neue" w:cs="Calibri"/>
          <w:b/>
          <w:sz w:val="22"/>
          <w:szCs w:val="22"/>
        </w:rPr>
      </w:pPr>
      <w:r w:rsidRPr="006E63C4">
        <w:rPr>
          <w:rFonts w:ascii="Helvetica Neue" w:hAnsi="Helvetica Neue" w:cs="Calibri"/>
          <w:b/>
          <w:sz w:val="22"/>
          <w:szCs w:val="22"/>
        </w:rPr>
        <w:t xml:space="preserve">Question 8: Do you agree with the proposed approach to differentiation and award as TEF develops over time?  Please give reasons for your answer. </w:t>
      </w:r>
    </w:p>
    <w:p w14:paraId="53C3EE6C" w14:textId="77777777" w:rsidR="006E63C4" w:rsidRPr="006E63C4" w:rsidRDefault="006E63C4" w:rsidP="001B3202">
      <w:pPr>
        <w:pStyle w:val="ListParagraph"/>
        <w:numPr>
          <w:ilvl w:val="0"/>
          <w:numId w:val="5"/>
        </w:numPr>
        <w:rPr>
          <w:rFonts w:ascii="Helvetica Neue" w:hAnsi="Helvetica Neue" w:cs="Calibri"/>
          <w:i/>
          <w:sz w:val="22"/>
          <w:szCs w:val="22"/>
        </w:rPr>
      </w:pPr>
      <w:r w:rsidRPr="006E63C4">
        <w:rPr>
          <w:rFonts w:ascii="Helvetica Neue" w:hAnsi="Helvetica Neue" w:cs="Calibri"/>
          <w:i/>
          <w:sz w:val="22"/>
          <w:szCs w:val="22"/>
        </w:rPr>
        <w:t xml:space="preserve">Our preferred option is that assessments are made at discipline (subject) level as soon as is practicable and the assessments would be aggregated to produce an overall institutional award. </w:t>
      </w:r>
    </w:p>
    <w:p w14:paraId="38A47869" w14:textId="77777777" w:rsidR="006E63C4" w:rsidRPr="006E63C4" w:rsidRDefault="006E63C4" w:rsidP="001B3202">
      <w:pPr>
        <w:pStyle w:val="ListParagraph"/>
        <w:numPr>
          <w:ilvl w:val="0"/>
          <w:numId w:val="5"/>
        </w:numPr>
        <w:rPr>
          <w:rFonts w:ascii="Helvetica Neue" w:hAnsi="Helvetica Neue" w:cs="Calibri"/>
          <w:i/>
          <w:sz w:val="22"/>
          <w:szCs w:val="22"/>
        </w:rPr>
      </w:pPr>
      <w:r w:rsidRPr="006E63C4">
        <w:rPr>
          <w:rFonts w:ascii="Helvetica Neue" w:hAnsi="Helvetica Neue" w:cs="Calibri"/>
          <w:i/>
          <w:sz w:val="22"/>
          <w:szCs w:val="22"/>
        </w:rPr>
        <w:t xml:space="preserve">We propose a simple scale of three or four levels to differentiate institutions. </w:t>
      </w:r>
    </w:p>
    <w:p w14:paraId="528B7724" w14:textId="18AC2392" w:rsidR="006E63C4" w:rsidRPr="006E63C4" w:rsidRDefault="006E63C4" w:rsidP="001B3202">
      <w:pPr>
        <w:pStyle w:val="ListParagraph"/>
        <w:numPr>
          <w:ilvl w:val="0"/>
          <w:numId w:val="5"/>
        </w:numPr>
        <w:rPr>
          <w:rFonts w:ascii="Helvetica Neue" w:hAnsi="Helvetica Neue" w:cs="Calibri"/>
          <w:i/>
          <w:sz w:val="22"/>
          <w:szCs w:val="22"/>
        </w:rPr>
      </w:pPr>
      <w:r w:rsidRPr="006E63C4">
        <w:rPr>
          <w:rFonts w:ascii="Helvetica Neue" w:hAnsi="Helvetica Neue" w:cs="Calibri"/>
          <w:i/>
          <w:sz w:val="22"/>
          <w:szCs w:val="22"/>
        </w:rPr>
        <w:t xml:space="preserve">The first point on the scale – level 1 – confirms the provider has a current successful QA (Quality Assessment) review (or equivalent) in England. Any provision falling below this threshold will be identified and addressed through the QA arrangements and would not be eligible for level 1 or higher levels of TEF.  </w:t>
      </w:r>
    </w:p>
    <w:p w14:paraId="59A7F062" w14:textId="77777777" w:rsidR="006E63C4" w:rsidRPr="006E63C4" w:rsidRDefault="006E63C4" w:rsidP="001B3202">
      <w:pPr>
        <w:pStyle w:val="ListParagraph"/>
        <w:numPr>
          <w:ilvl w:val="0"/>
          <w:numId w:val="5"/>
        </w:numPr>
        <w:rPr>
          <w:rFonts w:ascii="Helvetica Neue" w:hAnsi="Helvetica Neue" w:cs="Calibri"/>
          <w:i/>
          <w:sz w:val="22"/>
          <w:szCs w:val="22"/>
        </w:rPr>
      </w:pPr>
      <w:r w:rsidRPr="006E63C4">
        <w:rPr>
          <w:rFonts w:ascii="Helvetica Neue" w:hAnsi="Helvetica Neue" w:cs="Calibri"/>
          <w:i/>
          <w:sz w:val="22"/>
          <w:szCs w:val="22"/>
        </w:rPr>
        <w:t>The highest level on the scale should require performance significantly above expectations and/or compelling evidence of excellence to identify the very best provision and incentivise improvement.</w:t>
      </w:r>
    </w:p>
    <w:p w14:paraId="1EDD6033" w14:textId="34485EE3" w:rsidR="006E63C4" w:rsidRPr="006E63C4" w:rsidRDefault="006E63C4" w:rsidP="001B3202">
      <w:pPr>
        <w:pStyle w:val="ListParagraph"/>
        <w:numPr>
          <w:ilvl w:val="0"/>
          <w:numId w:val="5"/>
        </w:numPr>
        <w:rPr>
          <w:rFonts w:ascii="Helvetica Neue" w:hAnsi="Helvetica Neue" w:cs="Calibri"/>
          <w:i/>
          <w:sz w:val="22"/>
          <w:szCs w:val="22"/>
        </w:rPr>
      </w:pPr>
      <w:r>
        <w:rPr>
          <w:rFonts w:ascii="Helvetica Neue" w:hAnsi="Helvetica Neue" w:cs="Calibri"/>
          <w:i/>
          <w:sz w:val="22"/>
          <w:szCs w:val="22"/>
        </w:rPr>
        <w:t>R</w:t>
      </w:r>
      <w:r w:rsidRPr="006E63C4">
        <w:rPr>
          <w:rFonts w:ascii="Helvetica Neue" w:hAnsi="Helvetica Neue" w:cs="Calibri"/>
          <w:i/>
          <w:sz w:val="22"/>
          <w:szCs w:val="22"/>
        </w:rPr>
        <w:t xml:space="preserve">esults should be published in full, including on the regulator’s register of providers and other sites used by students, their advisers, and employers.  </w:t>
      </w:r>
    </w:p>
    <w:p w14:paraId="5AA3E85F" w14:textId="450E619F" w:rsidR="006E63C4" w:rsidRPr="006E63C4" w:rsidRDefault="006E63C4" w:rsidP="006E63C4">
      <w:pPr>
        <w:pStyle w:val="ListParagraph"/>
        <w:rPr>
          <w:rFonts w:ascii="Helvetica Neue" w:hAnsi="Helvetica Neue" w:cs="Calibri"/>
          <w:b/>
          <w:sz w:val="22"/>
          <w:szCs w:val="22"/>
        </w:rPr>
      </w:pPr>
    </w:p>
    <w:p w14:paraId="4CF4258E" w14:textId="77777777" w:rsidR="00F8728A" w:rsidRPr="00F8728A" w:rsidRDefault="00F8728A" w:rsidP="00F8728A">
      <w:pPr>
        <w:rPr>
          <w:rFonts w:ascii="Helvetica Neue" w:hAnsi="Helvetica Neue" w:cs="Calibri"/>
          <w:sz w:val="22"/>
          <w:szCs w:val="22"/>
        </w:rPr>
      </w:pPr>
    </w:p>
    <w:p w14:paraId="3F72B387" w14:textId="1A8F3253" w:rsidR="00F8728A" w:rsidRDefault="00F8728A" w:rsidP="00F8728A">
      <w:pPr>
        <w:rPr>
          <w:rFonts w:ascii="Helvetica Neue" w:hAnsi="Helvetica Neue" w:cs="Calibri"/>
          <w:b/>
          <w:sz w:val="22"/>
          <w:szCs w:val="22"/>
        </w:rPr>
      </w:pPr>
      <w:r w:rsidRPr="006E63C4">
        <w:rPr>
          <w:rFonts w:ascii="Helvetica Neue" w:hAnsi="Helvetica Neue" w:cs="Calibri"/>
          <w:b/>
          <w:sz w:val="22"/>
          <w:szCs w:val="22"/>
        </w:rPr>
        <w:t>Question 9: Do you agree with the proposed approach to incentives for the different types of provider?  Please give reasons for your answer.</w:t>
      </w:r>
    </w:p>
    <w:p w14:paraId="048C65FB" w14:textId="0A0AE184" w:rsidR="00A03575" w:rsidRPr="00A03575" w:rsidRDefault="00A03575" w:rsidP="001B3202">
      <w:pPr>
        <w:pStyle w:val="ListParagraph"/>
        <w:numPr>
          <w:ilvl w:val="0"/>
          <w:numId w:val="7"/>
        </w:numPr>
        <w:rPr>
          <w:rFonts w:ascii="Helvetica Neue" w:hAnsi="Helvetica Neue" w:cs="Calibri"/>
          <w:i/>
          <w:sz w:val="22"/>
          <w:szCs w:val="22"/>
        </w:rPr>
      </w:pPr>
      <w:r w:rsidRPr="00A03575">
        <w:rPr>
          <w:rFonts w:ascii="Helvetica Neue" w:hAnsi="Helvetica Neue" w:cs="Calibri"/>
          <w:i/>
          <w:sz w:val="22"/>
          <w:szCs w:val="22"/>
        </w:rPr>
        <w:t xml:space="preserve">Proposed that fee cap and fee loan cap uplifts will apply at an institutional level and over time we would expect fees to increasingly differentiate according to the TEF level awarded.   </w:t>
      </w:r>
    </w:p>
    <w:p w14:paraId="0E4A2E9B" w14:textId="4EA4391D" w:rsidR="00A03575" w:rsidRPr="00A03575" w:rsidRDefault="00A03575" w:rsidP="001B3202">
      <w:pPr>
        <w:pStyle w:val="ListParagraph"/>
        <w:numPr>
          <w:ilvl w:val="0"/>
          <w:numId w:val="6"/>
        </w:numPr>
        <w:rPr>
          <w:rFonts w:ascii="Helvetica Neue" w:hAnsi="Helvetica Neue" w:cs="Calibri"/>
          <w:i/>
          <w:sz w:val="22"/>
          <w:szCs w:val="22"/>
        </w:rPr>
      </w:pPr>
      <w:r w:rsidRPr="00A03575">
        <w:rPr>
          <w:rFonts w:ascii="Helvetica Neue" w:hAnsi="Helvetica Neue" w:cs="Calibri"/>
          <w:i/>
          <w:sz w:val="22"/>
          <w:szCs w:val="22"/>
        </w:rPr>
        <w:t>Government would set a maximum fee cap to correspond to each TEF award level,</w:t>
      </w:r>
      <w:r>
        <w:rPr>
          <w:rFonts w:ascii="Helvetica Neue" w:hAnsi="Helvetica Neue" w:cs="Calibri"/>
          <w:i/>
          <w:sz w:val="22"/>
          <w:szCs w:val="22"/>
        </w:rPr>
        <w:t xml:space="preserve"> </w:t>
      </w:r>
      <w:r w:rsidRPr="00A03575">
        <w:rPr>
          <w:rFonts w:ascii="Helvetica Neue" w:hAnsi="Helvetica Neue" w:cs="Calibri"/>
          <w:i/>
          <w:sz w:val="22"/>
          <w:szCs w:val="22"/>
        </w:rPr>
        <w:t xml:space="preserve">setting it each year not exceeding real terms increases. </w:t>
      </w:r>
    </w:p>
    <w:p w14:paraId="129CDC95" w14:textId="77777777" w:rsidR="00A03575" w:rsidRPr="00A03575" w:rsidRDefault="00A03575" w:rsidP="001B3202">
      <w:pPr>
        <w:pStyle w:val="ListParagraph"/>
        <w:numPr>
          <w:ilvl w:val="0"/>
          <w:numId w:val="6"/>
        </w:numPr>
        <w:rPr>
          <w:rFonts w:ascii="Helvetica Neue" w:hAnsi="Helvetica Neue" w:cs="Calibri"/>
          <w:i/>
          <w:sz w:val="22"/>
          <w:szCs w:val="22"/>
        </w:rPr>
      </w:pPr>
      <w:r w:rsidRPr="00A03575">
        <w:rPr>
          <w:rFonts w:ascii="Helvetica Neue" w:hAnsi="Helvetica Neue" w:cs="Calibri"/>
          <w:i/>
          <w:sz w:val="22"/>
          <w:szCs w:val="22"/>
        </w:rPr>
        <w:t>Institutions can charge fees up to the cap they are awarded through the TEF.</w:t>
      </w:r>
    </w:p>
    <w:p w14:paraId="537E1665" w14:textId="77777777" w:rsidR="00A03575" w:rsidRPr="00A03575" w:rsidRDefault="00A03575" w:rsidP="001B3202">
      <w:pPr>
        <w:pStyle w:val="ListParagraph"/>
        <w:numPr>
          <w:ilvl w:val="0"/>
          <w:numId w:val="6"/>
        </w:numPr>
        <w:rPr>
          <w:rFonts w:ascii="Helvetica Neue" w:hAnsi="Helvetica Neue" w:cs="Calibri"/>
          <w:i/>
          <w:sz w:val="22"/>
          <w:szCs w:val="22"/>
        </w:rPr>
      </w:pPr>
      <w:r w:rsidRPr="00A03575">
        <w:rPr>
          <w:rFonts w:ascii="Helvetica Neue" w:hAnsi="Helvetica Neue" w:cs="Calibri"/>
          <w:i/>
          <w:sz w:val="22"/>
          <w:szCs w:val="22"/>
        </w:rPr>
        <w:lastRenderedPageBreak/>
        <w:t>Not expected that fees will change for students already enrolled on courses if TEF level reached increases.</w:t>
      </w:r>
    </w:p>
    <w:p w14:paraId="481F67B1" w14:textId="67ABD2D3" w:rsidR="00A03575" w:rsidRPr="00A03575" w:rsidRDefault="00A03575" w:rsidP="001B3202">
      <w:pPr>
        <w:pStyle w:val="ListParagraph"/>
        <w:numPr>
          <w:ilvl w:val="0"/>
          <w:numId w:val="6"/>
        </w:numPr>
        <w:rPr>
          <w:rFonts w:ascii="Helvetica Neue" w:hAnsi="Helvetica Neue" w:cs="Calibri"/>
          <w:i/>
          <w:sz w:val="22"/>
          <w:szCs w:val="22"/>
        </w:rPr>
      </w:pPr>
      <w:r w:rsidRPr="00A03575">
        <w:rPr>
          <w:rFonts w:ascii="Helvetica Neue" w:hAnsi="Helvetica Neue" w:cs="Calibri"/>
          <w:i/>
          <w:sz w:val="22"/>
          <w:szCs w:val="22"/>
        </w:rPr>
        <w:t xml:space="preserve"> Alternative providers with DAPs or specific course designation, could have access to equivalent uplifts to the fee loan cap, </w:t>
      </w:r>
    </w:p>
    <w:p w14:paraId="0AE00189" w14:textId="77D9C511" w:rsidR="00A03575" w:rsidRPr="00A03575" w:rsidRDefault="00A03575" w:rsidP="001B3202">
      <w:pPr>
        <w:pStyle w:val="ListParagraph"/>
        <w:numPr>
          <w:ilvl w:val="0"/>
          <w:numId w:val="6"/>
        </w:numPr>
        <w:rPr>
          <w:rFonts w:ascii="Helvetica Neue" w:hAnsi="Helvetica Neue" w:cs="Calibri"/>
          <w:i/>
          <w:sz w:val="22"/>
          <w:szCs w:val="22"/>
        </w:rPr>
      </w:pPr>
      <w:r w:rsidRPr="00A03575">
        <w:rPr>
          <w:rFonts w:ascii="Helvetica Neue" w:hAnsi="Helvetica Neue" w:cs="Calibri"/>
          <w:i/>
          <w:sz w:val="22"/>
          <w:szCs w:val="22"/>
        </w:rPr>
        <w:t>Alternative providers who are currently subject to number controls, and who are eligible to do so, could alternatively be incentivised through the AP Performance pool.</w:t>
      </w:r>
    </w:p>
    <w:p w14:paraId="0B687A38" w14:textId="538B8655" w:rsidR="00A03575" w:rsidRPr="00A03575" w:rsidRDefault="00A03575" w:rsidP="00A03575">
      <w:pPr>
        <w:ind w:left="360"/>
        <w:rPr>
          <w:rFonts w:ascii="Helvetica Neue" w:hAnsi="Helvetica Neue" w:cs="Calibri"/>
          <w:b/>
          <w:sz w:val="22"/>
          <w:szCs w:val="22"/>
        </w:rPr>
      </w:pPr>
    </w:p>
    <w:p w14:paraId="46AA9E7E" w14:textId="77777777" w:rsidR="00F8728A" w:rsidRPr="00F8728A" w:rsidRDefault="00F8728A" w:rsidP="00F8728A">
      <w:pPr>
        <w:rPr>
          <w:rFonts w:ascii="Helvetica Neue" w:hAnsi="Helvetica Neue" w:cs="Calibri"/>
          <w:sz w:val="22"/>
          <w:szCs w:val="22"/>
        </w:rPr>
      </w:pPr>
    </w:p>
    <w:p w14:paraId="2E5E1327" w14:textId="77777777" w:rsidR="00F8728A" w:rsidRDefault="00F8728A" w:rsidP="00F8728A">
      <w:pPr>
        <w:rPr>
          <w:rFonts w:ascii="Helvetica Neue" w:hAnsi="Helvetica Neue" w:cs="Calibri"/>
          <w:b/>
          <w:sz w:val="22"/>
          <w:szCs w:val="22"/>
        </w:rPr>
      </w:pPr>
      <w:r w:rsidRPr="00A03575">
        <w:rPr>
          <w:rFonts w:ascii="Helvetica Neue" w:hAnsi="Helvetica Neue" w:cs="Calibri"/>
          <w:b/>
          <w:sz w:val="22"/>
          <w:szCs w:val="22"/>
        </w:rPr>
        <w:t xml:space="preserve">Question 10: Do you agree with the focus on teaching quality, learning environment, student outcomes and learning gain? Please give reasons for your answer. </w:t>
      </w:r>
    </w:p>
    <w:p w14:paraId="0439039E" w14:textId="28BCE1E0" w:rsidR="00A03575" w:rsidRPr="00A03575" w:rsidRDefault="00A03575" w:rsidP="001B3202">
      <w:pPr>
        <w:pStyle w:val="ListParagraph"/>
        <w:numPr>
          <w:ilvl w:val="0"/>
          <w:numId w:val="8"/>
        </w:numPr>
        <w:rPr>
          <w:rFonts w:ascii="Helvetica Neue" w:hAnsi="Helvetica Neue" w:cs="Calibri"/>
          <w:i/>
          <w:sz w:val="22"/>
          <w:szCs w:val="22"/>
        </w:rPr>
      </w:pPr>
      <w:r>
        <w:rPr>
          <w:rFonts w:ascii="Helvetica Neue" w:hAnsi="Helvetica Neue" w:cs="Calibri"/>
          <w:i/>
          <w:sz w:val="22"/>
          <w:szCs w:val="22"/>
        </w:rPr>
        <w:t>P</w:t>
      </w:r>
      <w:r w:rsidRPr="00A03575">
        <w:rPr>
          <w:rFonts w:ascii="Helvetica Neue" w:hAnsi="Helvetica Neue" w:cs="Calibri"/>
          <w:i/>
          <w:sz w:val="22"/>
          <w:szCs w:val="22"/>
        </w:rPr>
        <w:t>ropose</w:t>
      </w:r>
      <w:r>
        <w:rPr>
          <w:rFonts w:ascii="Helvetica Neue" w:hAnsi="Helvetica Neue" w:cs="Calibri"/>
          <w:i/>
          <w:sz w:val="22"/>
          <w:szCs w:val="22"/>
        </w:rPr>
        <w:t>d</w:t>
      </w:r>
      <w:r w:rsidRPr="00A03575">
        <w:rPr>
          <w:rFonts w:ascii="Helvetica Neue" w:hAnsi="Helvetica Neue" w:cs="Calibri"/>
          <w:i/>
          <w:sz w:val="22"/>
          <w:szCs w:val="22"/>
        </w:rPr>
        <w:t xml:space="preserve"> to use a common set of metrics derived from quality assured national datasets and benchmarked in a transparent and fair way across all providers to give info</w:t>
      </w:r>
      <w:r w:rsidR="00A44EB5">
        <w:rPr>
          <w:rFonts w:ascii="Helvetica Neue" w:hAnsi="Helvetica Neue" w:cs="Calibri"/>
          <w:i/>
          <w:sz w:val="22"/>
          <w:szCs w:val="22"/>
        </w:rPr>
        <w:t xml:space="preserve">rmation to inform assessments and </w:t>
      </w:r>
      <w:r w:rsidRPr="00A03575">
        <w:rPr>
          <w:rFonts w:ascii="Helvetica Neue" w:hAnsi="Helvetica Neue" w:cs="Calibri"/>
          <w:i/>
          <w:sz w:val="22"/>
          <w:szCs w:val="22"/>
        </w:rPr>
        <w:t xml:space="preserve">propose to ask institutions to supplement them with additional information.  </w:t>
      </w:r>
    </w:p>
    <w:p w14:paraId="0E9E2DCC" w14:textId="654FAC5F" w:rsidR="00A03575" w:rsidRPr="00A03575" w:rsidRDefault="00A03575" w:rsidP="001B3202">
      <w:pPr>
        <w:pStyle w:val="ListParagraph"/>
        <w:numPr>
          <w:ilvl w:val="0"/>
          <w:numId w:val="8"/>
        </w:numPr>
        <w:rPr>
          <w:rFonts w:ascii="Helvetica Neue" w:hAnsi="Helvetica Neue" w:cs="Calibri"/>
          <w:b/>
          <w:sz w:val="22"/>
          <w:szCs w:val="22"/>
        </w:rPr>
      </w:pPr>
      <w:r w:rsidRPr="00A03575">
        <w:rPr>
          <w:rFonts w:ascii="Helvetica Neue" w:hAnsi="Helvetica Neue" w:cs="Calibri"/>
          <w:i/>
          <w:sz w:val="22"/>
          <w:szCs w:val="22"/>
        </w:rPr>
        <w:t>We propose that all metrics will therefore be broken down and reported by disadvantaged backgrounds and under-represented groups, and this information will be used in making TEF assessments.</w:t>
      </w:r>
    </w:p>
    <w:p w14:paraId="3C949A5E" w14:textId="72C4EB28" w:rsidR="00A03575" w:rsidRDefault="00A03575" w:rsidP="00A03575">
      <w:pPr>
        <w:pStyle w:val="ListParagraph"/>
        <w:rPr>
          <w:rFonts w:ascii="Helvetica Neue" w:hAnsi="Helvetica Neue" w:cs="Calibri"/>
          <w:b/>
          <w:sz w:val="22"/>
          <w:szCs w:val="22"/>
        </w:rPr>
      </w:pPr>
      <w:r>
        <w:rPr>
          <w:rFonts w:ascii="Helvetica Neue" w:hAnsi="Helvetica Neue" w:cs="Calibri"/>
          <w:b/>
          <w:sz w:val="22"/>
          <w:szCs w:val="22"/>
        </w:rPr>
        <w:t>Suggested criteria- teaching quality, learning environment, outcomes and learning gain</w:t>
      </w:r>
    </w:p>
    <w:p w14:paraId="21D73B90" w14:textId="137A82AB" w:rsidR="00A03575" w:rsidRPr="00A44EB5" w:rsidRDefault="00A03575" w:rsidP="001B3202">
      <w:pPr>
        <w:pStyle w:val="ListParagraph"/>
        <w:numPr>
          <w:ilvl w:val="0"/>
          <w:numId w:val="8"/>
        </w:numPr>
        <w:rPr>
          <w:rFonts w:ascii="Helvetica Neue" w:hAnsi="Helvetica Neue" w:cs="Calibri"/>
          <w:i/>
          <w:sz w:val="22"/>
          <w:szCs w:val="22"/>
        </w:rPr>
      </w:pPr>
      <w:r w:rsidRPr="00A44EB5">
        <w:rPr>
          <w:rFonts w:ascii="Helvetica Neue" w:hAnsi="Helvetica Neue" w:cs="Calibri"/>
          <w:i/>
          <w:sz w:val="22"/>
          <w:szCs w:val="22"/>
        </w:rPr>
        <w:t xml:space="preserve">Students are intellectually stimulated, actively engaged in their learning, and satisfied with the quality of teaching and learning. </w:t>
      </w:r>
    </w:p>
    <w:p w14:paraId="5914CB78" w14:textId="5DF39683" w:rsidR="00A03575" w:rsidRPr="00A44EB5" w:rsidRDefault="00A03575" w:rsidP="001B3202">
      <w:pPr>
        <w:pStyle w:val="ListParagraph"/>
        <w:numPr>
          <w:ilvl w:val="0"/>
          <w:numId w:val="8"/>
        </w:numPr>
        <w:rPr>
          <w:rFonts w:ascii="Helvetica Neue" w:hAnsi="Helvetica Neue" w:cs="Calibri"/>
          <w:i/>
          <w:sz w:val="22"/>
          <w:szCs w:val="22"/>
        </w:rPr>
      </w:pPr>
      <w:r w:rsidRPr="00A44EB5">
        <w:rPr>
          <w:rFonts w:ascii="Helvetica Neue" w:hAnsi="Helvetica Neue" w:cs="Calibri"/>
          <w:i/>
          <w:sz w:val="22"/>
          <w:szCs w:val="22"/>
        </w:rPr>
        <w:t xml:space="preserve">There is a strategic and effective approach to understanding the ways in which students are intellectually challenged and engaged in the curriculum and their learning. </w:t>
      </w:r>
    </w:p>
    <w:p w14:paraId="0DCE915D" w14:textId="64E208DD" w:rsidR="00A03575" w:rsidRPr="00A44EB5" w:rsidRDefault="00A03575" w:rsidP="001B3202">
      <w:pPr>
        <w:pStyle w:val="ListParagraph"/>
        <w:numPr>
          <w:ilvl w:val="0"/>
          <w:numId w:val="8"/>
        </w:numPr>
        <w:rPr>
          <w:rFonts w:ascii="Helvetica Neue" w:hAnsi="Helvetica Neue" w:cs="Calibri"/>
          <w:i/>
          <w:sz w:val="22"/>
          <w:szCs w:val="22"/>
        </w:rPr>
      </w:pPr>
      <w:r w:rsidRPr="00A44EB5">
        <w:rPr>
          <w:rFonts w:ascii="Helvetica Neue" w:hAnsi="Helvetica Neue" w:cs="Calibri"/>
          <w:i/>
          <w:sz w:val="22"/>
          <w:szCs w:val="22"/>
        </w:rPr>
        <w:t xml:space="preserve">The courses, curriculum design, teaching and assessment are effective in developing all students’ knowledge and skills. </w:t>
      </w:r>
    </w:p>
    <w:p w14:paraId="2E649C44" w14:textId="4E7AE7FE" w:rsidR="00A03575" w:rsidRPr="00A44EB5" w:rsidRDefault="00A03575" w:rsidP="001B3202">
      <w:pPr>
        <w:pStyle w:val="ListParagraph"/>
        <w:numPr>
          <w:ilvl w:val="0"/>
          <w:numId w:val="8"/>
        </w:numPr>
        <w:rPr>
          <w:rFonts w:ascii="Helvetica Neue" w:hAnsi="Helvetica Neue" w:cs="Calibri"/>
          <w:i/>
          <w:sz w:val="22"/>
          <w:szCs w:val="22"/>
        </w:rPr>
      </w:pPr>
      <w:r w:rsidRPr="00A44EB5">
        <w:rPr>
          <w:rFonts w:ascii="Helvetica Neue" w:hAnsi="Helvetica Neue" w:cs="Calibri"/>
          <w:i/>
          <w:sz w:val="22"/>
          <w:szCs w:val="22"/>
        </w:rPr>
        <w:t xml:space="preserve">Leadership and the teaching and learning strategy support and promote excellent teaching and learning.   </w:t>
      </w:r>
    </w:p>
    <w:p w14:paraId="64CB9E0A" w14:textId="5C22CFB7" w:rsidR="00A03575" w:rsidRPr="00A44EB5" w:rsidRDefault="00A03575" w:rsidP="001B3202">
      <w:pPr>
        <w:pStyle w:val="ListParagraph"/>
        <w:numPr>
          <w:ilvl w:val="0"/>
          <w:numId w:val="8"/>
        </w:numPr>
        <w:rPr>
          <w:rFonts w:ascii="Helvetica Neue" w:hAnsi="Helvetica Neue" w:cs="Calibri"/>
          <w:i/>
          <w:sz w:val="22"/>
          <w:szCs w:val="22"/>
        </w:rPr>
      </w:pPr>
      <w:r w:rsidRPr="00A44EB5">
        <w:rPr>
          <w:rFonts w:ascii="Helvetica Neue" w:hAnsi="Helvetica Neue" w:cs="Calibri"/>
          <w:i/>
          <w:sz w:val="22"/>
          <w:szCs w:val="22"/>
        </w:rPr>
        <w:t xml:space="preserve">The provider recognises and rewards excellent teaching through parity of status between teaching and research careers, and explicit career path and other rewards. </w:t>
      </w:r>
    </w:p>
    <w:p w14:paraId="727ACE74" w14:textId="3E879485" w:rsidR="00A03575" w:rsidRPr="00A44EB5" w:rsidRDefault="00A03575" w:rsidP="001B3202">
      <w:pPr>
        <w:pStyle w:val="ListParagraph"/>
        <w:numPr>
          <w:ilvl w:val="0"/>
          <w:numId w:val="8"/>
        </w:numPr>
        <w:rPr>
          <w:rFonts w:ascii="Helvetica Neue" w:hAnsi="Helvetica Neue" w:cs="Calibri"/>
          <w:i/>
          <w:sz w:val="22"/>
          <w:szCs w:val="22"/>
        </w:rPr>
      </w:pPr>
      <w:r w:rsidRPr="00A44EB5">
        <w:rPr>
          <w:rFonts w:ascii="Helvetica Neue" w:hAnsi="Helvetica Neue" w:cs="Calibri"/>
          <w:i/>
          <w:sz w:val="22"/>
          <w:szCs w:val="22"/>
        </w:rPr>
        <w:t xml:space="preserve">The relationship and mutual benefits between teaching, scholarship and research  Student outcomes and learning gain </w:t>
      </w:r>
    </w:p>
    <w:p w14:paraId="43C37B84" w14:textId="72598183" w:rsidR="00A03575" w:rsidRPr="00A44EB5" w:rsidRDefault="00A03575" w:rsidP="001B3202">
      <w:pPr>
        <w:pStyle w:val="ListParagraph"/>
        <w:numPr>
          <w:ilvl w:val="0"/>
          <w:numId w:val="8"/>
        </w:numPr>
        <w:rPr>
          <w:rFonts w:ascii="Helvetica Neue" w:hAnsi="Helvetica Neue" w:cs="Calibri"/>
          <w:i/>
          <w:sz w:val="22"/>
          <w:szCs w:val="22"/>
        </w:rPr>
      </w:pPr>
      <w:r w:rsidRPr="00A44EB5">
        <w:rPr>
          <w:rFonts w:ascii="Helvetica Neue" w:hAnsi="Helvetica Neue" w:cs="Calibri"/>
          <w:i/>
          <w:sz w:val="22"/>
          <w:szCs w:val="22"/>
        </w:rPr>
        <w:t xml:space="preserve">Students’ knowledge, skills and career readiness are enhanced by their education. </w:t>
      </w:r>
    </w:p>
    <w:p w14:paraId="3D666134" w14:textId="696663CE" w:rsidR="00A03575" w:rsidRPr="00A44EB5" w:rsidRDefault="00A03575" w:rsidP="001B3202">
      <w:pPr>
        <w:pStyle w:val="ListParagraph"/>
        <w:numPr>
          <w:ilvl w:val="0"/>
          <w:numId w:val="8"/>
        </w:numPr>
        <w:rPr>
          <w:rFonts w:ascii="Helvetica Neue" w:hAnsi="Helvetica Neue" w:cs="Calibri"/>
          <w:i/>
          <w:sz w:val="22"/>
          <w:szCs w:val="22"/>
        </w:rPr>
      </w:pPr>
      <w:r w:rsidRPr="00A44EB5">
        <w:rPr>
          <w:rFonts w:ascii="Helvetica Neue" w:hAnsi="Helvetica Neue" w:cs="Calibri"/>
          <w:i/>
          <w:sz w:val="22"/>
          <w:szCs w:val="22"/>
        </w:rPr>
        <w:t xml:space="preserve">All students receive effective support in order to achieve their educational and professional goals and potential. </w:t>
      </w:r>
    </w:p>
    <w:p w14:paraId="1BABD119" w14:textId="180FBBAB" w:rsidR="00A03575" w:rsidRPr="00A44EB5" w:rsidRDefault="00A03575" w:rsidP="001B3202">
      <w:pPr>
        <w:pStyle w:val="ListParagraph"/>
        <w:numPr>
          <w:ilvl w:val="0"/>
          <w:numId w:val="8"/>
        </w:numPr>
        <w:rPr>
          <w:rFonts w:ascii="Helvetica Neue" w:hAnsi="Helvetica Neue" w:cs="Calibri"/>
          <w:i/>
          <w:sz w:val="22"/>
          <w:szCs w:val="22"/>
        </w:rPr>
      </w:pPr>
      <w:r w:rsidRPr="00A44EB5">
        <w:rPr>
          <w:rFonts w:ascii="Helvetica Neue" w:hAnsi="Helvetica Neue" w:cs="Calibri"/>
          <w:i/>
          <w:sz w:val="22"/>
          <w:szCs w:val="22"/>
        </w:rPr>
        <w:t>Students get added value from their studies.</w:t>
      </w:r>
    </w:p>
    <w:p w14:paraId="244B8151" w14:textId="77777777" w:rsidR="00A03575" w:rsidRPr="00A03575" w:rsidRDefault="00A03575" w:rsidP="00A03575">
      <w:pPr>
        <w:pStyle w:val="ListParagraph"/>
        <w:rPr>
          <w:rFonts w:ascii="Helvetica Neue" w:hAnsi="Helvetica Neue" w:cs="Calibri"/>
          <w:b/>
          <w:sz w:val="22"/>
          <w:szCs w:val="22"/>
        </w:rPr>
      </w:pPr>
    </w:p>
    <w:p w14:paraId="1FE27B63" w14:textId="77777777" w:rsidR="00A03575" w:rsidRDefault="00A03575" w:rsidP="00F8728A">
      <w:pPr>
        <w:rPr>
          <w:rFonts w:ascii="Helvetica Neue" w:hAnsi="Helvetica Neue" w:cs="Calibri"/>
          <w:b/>
          <w:sz w:val="22"/>
          <w:szCs w:val="22"/>
        </w:rPr>
      </w:pPr>
    </w:p>
    <w:p w14:paraId="6A119DE0" w14:textId="4E68A72E" w:rsidR="00F8728A" w:rsidRPr="00A03575" w:rsidRDefault="00F8728A" w:rsidP="00F8728A">
      <w:pPr>
        <w:rPr>
          <w:rFonts w:ascii="Helvetica Neue" w:hAnsi="Helvetica Neue" w:cs="Calibri"/>
          <w:b/>
          <w:sz w:val="22"/>
          <w:szCs w:val="22"/>
        </w:rPr>
      </w:pPr>
      <w:r w:rsidRPr="00A03575">
        <w:rPr>
          <w:rFonts w:ascii="Helvetica Neue" w:hAnsi="Helvetica Neue" w:cs="Calibri"/>
          <w:b/>
          <w:sz w:val="22"/>
          <w:szCs w:val="22"/>
        </w:rPr>
        <w:t xml:space="preserve">Question 11: Do you agree with the proposed approach to the evidence used to make TEF assessments - common metrics derived from the national databases supported by evidence from the provider? Please give reasons for your answer. </w:t>
      </w:r>
    </w:p>
    <w:p w14:paraId="1D4F1B6E" w14:textId="4019D39D" w:rsidR="00A44EB5" w:rsidRPr="00FC1A96" w:rsidRDefault="00FC1A96" w:rsidP="001B3202">
      <w:pPr>
        <w:pStyle w:val="ListParagraph"/>
        <w:numPr>
          <w:ilvl w:val="0"/>
          <w:numId w:val="9"/>
        </w:numPr>
        <w:rPr>
          <w:rFonts w:ascii="Helvetica Neue" w:hAnsi="Helvetica Neue" w:cs="Calibri"/>
          <w:b/>
          <w:sz w:val="22"/>
          <w:szCs w:val="22"/>
        </w:rPr>
      </w:pPr>
      <w:r>
        <w:rPr>
          <w:rFonts w:ascii="Helvetica Neue" w:hAnsi="Helvetica Neue" w:cs="Calibri"/>
          <w:i/>
          <w:sz w:val="22"/>
          <w:szCs w:val="22"/>
        </w:rPr>
        <w:t>P</w:t>
      </w:r>
      <w:r w:rsidR="00A44EB5" w:rsidRPr="00FC1A96">
        <w:rPr>
          <w:rFonts w:ascii="Helvetica Neue" w:hAnsi="Helvetica Neue" w:cs="Calibri"/>
          <w:i/>
          <w:sz w:val="22"/>
          <w:szCs w:val="22"/>
        </w:rPr>
        <w:t>ropose</w:t>
      </w:r>
      <w:r>
        <w:rPr>
          <w:rFonts w:ascii="Helvetica Neue" w:hAnsi="Helvetica Neue" w:cs="Calibri"/>
          <w:i/>
          <w:sz w:val="22"/>
          <w:szCs w:val="22"/>
        </w:rPr>
        <w:t>d</w:t>
      </w:r>
      <w:r w:rsidR="00A44EB5" w:rsidRPr="00FC1A96">
        <w:rPr>
          <w:rFonts w:ascii="Helvetica Neue" w:hAnsi="Helvetica Neue" w:cs="Calibri"/>
          <w:i/>
          <w:sz w:val="22"/>
          <w:szCs w:val="22"/>
        </w:rPr>
        <w:t xml:space="preserve"> that the common metrics will be calculated and benchmarked in a consistent, transparent and fair way across all providers.</w:t>
      </w:r>
    </w:p>
    <w:p w14:paraId="5C00672B" w14:textId="629AD262" w:rsidR="00A44EB5" w:rsidRPr="00A44EB5" w:rsidRDefault="00A44EB5" w:rsidP="00A44EB5">
      <w:pPr>
        <w:ind w:left="360"/>
        <w:rPr>
          <w:rFonts w:ascii="Helvetica Neue" w:hAnsi="Helvetica Neue" w:cs="Calibri"/>
          <w:b/>
          <w:sz w:val="22"/>
          <w:szCs w:val="22"/>
        </w:rPr>
      </w:pPr>
      <w:r w:rsidRPr="00A44EB5">
        <w:rPr>
          <w:rFonts w:ascii="Helvetica Neue" w:hAnsi="Helvetica Neue" w:cs="Calibri"/>
          <w:b/>
          <w:sz w:val="22"/>
          <w:szCs w:val="22"/>
        </w:rPr>
        <w:t>Common metrics to be used in TEF</w:t>
      </w:r>
    </w:p>
    <w:p w14:paraId="6DF43423" w14:textId="4AFD23A7" w:rsidR="00A44EB5" w:rsidRPr="00A44EB5" w:rsidRDefault="00A44EB5" w:rsidP="001B3202">
      <w:pPr>
        <w:pStyle w:val="ListParagraph"/>
        <w:numPr>
          <w:ilvl w:val="0"/>
          <w:numId w:val="8"/>
        </w:numPr>
        <w:rPr>
          <w:rFonts w:ascii="Helvetica Neue" w:hAnsi="Helvetica Neue" w:cs="Calibri"/>
          <w:i/>
          <w:sz w:val="22"/>
          <w:szCs w:val="22"/>
        </w:rPr>
      </w:pPr>
      <w:r w:rsidRPr="00A44EB5">
        <w:rPr>
          <w:rFonts w:ascii="Helvetica Neue" w:hAnsi="Helvetica Neue" w:cs="Calibri"/>
          <w:i/>
          <w:sz w:val="22"/>
          <w:szCs w:val="22"/>
        </w:rPr>
        <w:t xml:space="preserve">Employment/destination – from the Destination of Leavers from Higher Education Surveys (outcomes), and, from early 2017, make use of the results of the HMRC data match.   </w:t>
      </w:r>
    </w:p>
    <w:p w14:paraId="4C812623" w14:textId="4647C92A" w:rsidR="00A44EB5" w:rsidRPr="00A44EB5" w:rsidRDefault="00A44EB5" w:rsidP="001B3202">
      <w:pPr>
        <w:pStyle w:val="ListParagraph"/>
        <w:numPr>
          <w:ilvl w:val="0"/>
          <w:numId w:val="8"/>
        </w:numPr>
        <w:rPr>
          <w:rFonts w:ascii="Helvetica Neue" w:hAnsi="Helvetica Neue" w:cs="Calibri"/>
          <w:i/>
          <w:sz w:val="22"/>
          <w:szCs w:val="22"/>
        </w:rPr>
      </w:pPr>
      <w:r w:rsidRPr="00A44EB5">
        <w:rPr>
          <w:rFonts w:ascii="Helvetica Neue" w:hAnsi="Helvetica Neue" w:cs="Calibri"/>
          <w:i/>
          <w:sz w:val="22"/>
          <w:szCs w:val="22"/>
        </w:rPr>
        <w:t>Retention/continuation – from the UK Performance Indicators which are published by Higher Education Statistics Agency (HESA) (outcomes)</w:t>
      </w:r>
    </w:p>
    <w:p w14:paraId="11A0FDA3" w14:textId="29B956E8" w:rsidR="00A44EB5" w:rsidRPr="00A44EB5" w:rsidRDefault="00A44EB5" w:rsidP="001B3202">
      <w:pPr>
        <w:pStyle w:val="ListParagraph"/>
        <w:numPr>
          <w:ilvl w:val="0"/>
          <w:numId w:val="8"/>
        </w:numPr>
        <w:rPr>
          <w:rFonts w:ascii="Helvetica Neue" w:hAnsi="Helvetica Neue" w:cs="Calibri"/>
          <w:i/>
          <w:sz w:val="22"/>
          <w:szCs w:val="22"/>
        </w:rPr>
      </w:pPr>
      <w:r w:rsidRPr="00A44EB5">
        <w:rPr>
          <w:rFonts w:ascii="Helvetica Neue" w:hAnsi="Helvetica Neue" w:cs="Calibri"/>
          <w:i/>
          <w:sz w:val="22"/>
          <w:szCs w:val="22"/>
        </w:rPr>
        <w:t>Student satisfaction indicators – from the National Student Survey (teaching quality and learning environment)</w:t>
      </w:r>
    </w:p>
    <w:p w14:paraId="4AD91A5A" w14:textId="1A64D7D9" w:rsidR="00A44EB5" w:rsidRPr="00A44EB5" w:rsidRDefault="00A44EB5" w:rsidP="00A44EB5">
      <w:pPr>
        <w:ind w:left="360"/>
        <w:rPr>
          <w:rFonts w:ascii="Helvetica Neue" w:hAnsi="Helvetica Neue" w:cs="Calibri"/>
          <w:b/>
          <w:sz w:val="22"/>
          <w:szCs w:val="22"/>
        </w:rPr>
      </w:pPr>
      <w:r w:rsidRPr="00A44EB5">
        <w:rPr>
          <w:rFonts w:ascii="Helvetica Neue" w:hAnsi="Helvetica Neue" w:cs="Calibri"/>
          <w:b/>
          <w:sz w:val="22"/>
          <w:szCs w:val="22"/>
        </w:rPr>
        <w:t>New metrics suggested by sector</w:t>
      </w:r>
    </w:p>
    <w:p w14:paraId="2940BB00" w14:textId="082E0D94" w:rsidR="00A44EB5" w:rsidRPr="00A44EB5" w:rsidRDefault="00A44EB5" w:rsidP="001B3202">
      <w:pPr>
        <w:pStyle w:val="ListParagraph"/>
        <w:numPr>
          <w:ilvl w:val="0"/>
          <w:numId w:val="8"/>
        </w:numPr>
        <w:rPr>
          <w:rFonts w:ascii="Helvetica Neue" w:hAnsi="Helvetica Neue" w:cs="Calibri"/>
          <w:i/>
          <w:sz w:val="22"/>
          <w:szCs w:val="22"/>
        </w:rPr>
      </w:pPr>
      <w:r w:rsidRPr="00A44EB5">
        <w:rPr>
          <w:rFonts w:ascii="Helvetica Neue" w:hAnsi="Helvetica Neue" w:cs="Calibri"/>
          <w:i/>
          <w:sz w:val="22"/>
          <w:szCs w:val="22"/>
        </w:rPr>
        <w:t xml:space="preserve">Student commitment to learning – including appropriate pedagogical approaches  </w:t>
      </w:r>
    </w:p>
    <w:p w14:paraId="3352A613" w14:textId="4D028355" w:rsidR="00A44EB5" w:rsidRPr="00A44EB5" w:rsidRDefault="00A44EB5" w:rsidP="001B3202">
      <w:pPr>
        <w:pStyle w:val="ListParagraph"/>
        <w:numPr>
          <w:ilvl w:val="0"/>
          <w:numId w:val="8"/>
        </w:numPr>
        <w:rPr>
          <w:rFonts w:ascii="Helvetica Neue" w:hAnsi="Helvetica Neue" w:cs="Calibri"/>
          <w:i/>
          <w:sz w:val="22"/>
          <w:szCs w:val="22"/>
        </w:rPr>
      </w:pPr>
      <w:r w:rsidRPr="00A44EB5">
        <w:rPr>
          <w:rFonts w:ascii="Helvetica Neue" w:hAnsi="Helvetica Neue" w:cs="Calibri"/>
          <w:i/>
          <w:sz w:val="22"/>
          <w:szCs w:val="22"/>
        </w:rPr>
        <w:t xml:space="preserve">Training and employment of staff – measures might include proportion of staff on permanent contracts </w:t>
      </w:r>
    </w:p>
    <w:p w14:paraId="04B9EDCA" w14:textId="2811CA15" w:rsidR="00A44EB5" w:rsidRPr="00A44EB5" w:rsidRDefault="00A44EB5" w:rsidP="001B3202">
      <w:pPr>
        <w:pStyle w:val="ListParagraph"/>
        <w:numPr>
          <w:ilvl w:val="0"/>
          <w:numId w:val="8"/>
        </w:numPr>
        <w:rPr>
          <w:rFonts w:ascii="Helvetica Neue" w:hAnsi="Helvetica Neue" w:cs="Calibri"/>
          <w:i/>
          <w:sz w:val="22"/>
          <w:szCs w:val="22"/>
        </w:rPr>
      </w:pPr>
      <w:r w:rsidRPr="00A44EB5">
        <w:rPr>
          <w:rFonts w:ascii="Helvetica Neue" w:hAnsi="Helvetica Neue" w:cs="Calibri"/>
          <w:i/>
          <w:sz w:val="22"/>
          <w:szCs w:val="22"/>
        </w:rPr>
        <w:t xml:space="preserve">Teaching intensity – measures might include time spent studying, as measured in the UK Engagement Surveys, proportion of total staff time spent on teaching.  </w:t>
      </w:r>
    </w:p>
    <w:p w14:paraId="47320D0F" w14:textId="701BC602" w:rsidR="00A44EB5" w:rsidRPr="00A44EB5" w:rsidRDefault="00A44EB5" w:rsidP="00A44EB5">
      <w:pPr>
        <w:ind w:left="360"/>
        <w:rPr>
          <w:rFonts w:ascii="Helvetica Neue" w:hAnsi="Helvetica Neue" w:cs="Calibri"/>
          <w:b/>
          <w:sz w:val="22"/>
          <w:szCs w:val="22"/>
        </w:rPr>
      </w:pPr>
      <w:r w:rsidRPr="00A44EB5">
        <w:rPr>
          <w:rFonts w:ascii="Helvetica Neue" w:hAnsi="Helvetica Neue" w:cs="Calibri"/>
          <w:b/>
          <w:sz w:val="22"/>
          <w:szCs w:val="22"/>
        </w:rPr>
        <w:t xml:space="preserve">Other information submitted by institution </w:t>
      </w:r>
    </w:p>
    <w:p w14:paraId="74882D10" w14:textId="77777777" w:rsidR="00A44EB5" w:rsidRPr="00A44EB5" w:rsidRDefault="00A44EB5" w:rsidP="001B3202">
      <w:pPr>
        <w:pStyle w:val="ListParagraph"/>
        <w:numPr>
          <w:ilvl w:val="0"/>
          <w:numId w:val="8"/>
        </w:numPr>
        <w:rPr>
          <w:rFonts w:ascii="Helvetica Neue" w:hAnsi="Helvetica Neue" w:cs="Calibri"/>
          <w:i/>
          <w:sz w:val="22"/>
          <w:szCs w:val="22"/>
        </w:rPr>
      </w:pPr>
      <w:r w:rsidRPr="00A44EB5">
        <w:rPr>
          <w:rFonts w:ascii="Helvetica Neue" w:hAnsi="Helvetica Neue" w:cs="Calibri"/>
          <w:i/>
          <w:sz w:val="22"/>
          <w:szCs w:val="22"/>
        </w:rPr>
        <w:t xml:space="preserve">institution’s mission, size, context, institutional setting, priorities and provision  </w:t>
      </w:r>
    </w:p>
    <w:p w14:paraId="2735C636" w14:textId="4BBE28A5" w:rsidR="00A44EB5" w:rsidRPr="00A44EB5" w:rsidRDefault="00A44EB5" w:rsidP="001B3202">
      <w:pPr>
        <w:pStyle w:val="ListParagraph"/>
        <w:numPr>
          <w:ilvl w:val="0"/>
          <w:numId w:val="8"/>
        </w:numPr>
        <w:rPr>
          <w:rFonts w:ascii="Helvetica Neue" w:hAnsi="Helvetica Neue" w:cs="Calibri"/>
          <w:i/>
          <w:sz w:val="22"/>
          <w:szCs w:val="22"/>
        </w:rPr>
      </w:pPr>
      <w:proofErr w:type="gramStart"/>
      <w:r>
        <w:rPr>
          <w:rFonts w:ascii="Helvetica Neue" w:hAnsi="Helvetica Neue" w:cs="Calibri"/>
          <w:i/>
          <w:sz w:val="22"/>
          <w:szCs w:val="22"/>
        </w:rPr>
        <w:lastRenderedPageBreak/>
        <w:t>how</w:t>
      </w:r>
      <w:proofErr w:type="gramEnd"/>
      <w:r>
        <w:rPr>
          <w:rFonts w:ascii="Helvetica Neue" w:hAnsi="Helvetica Neue" w:cs="Calibri"/>
          <w:i/>
          <w:sz w:val="22"/>
          <w:szCs w:val="22"/>
        </w:rPr>
        <w:t xml:space="preserve"> </w:t>
      </w:r>
      <w:r w:rsidRPr="00A44EB5">
        <w:rPr>
          <w:rFonts w:ascii="Helvetica Neue" w:hAnsi="Helvetica Neue" w:cs="Calibri"/>
          <w:i/>
          <w:sz w:val="22"/>
          <w:szCs w:val="22"/>
        </w:rPr>
        <w:t xml:space="preserve">students are recruited from a diverse range of backgrounds, including use of access agreements where relevant.  </w:t>
      </w:r>
    </w:p>
    <w:p w14:paraId="5501C1C9" w14:textId="0254157D" w:rsidR="00A44EB5" w:rsidRPr="00A44EB5" w:rsidRDefault="00A44EB5" w:rsidP="001B3202">
      <w:pPr>
        <w:pStyle w:val="ListParagraph"/>
        <w:numPr>
          <w:ilvl w:val="0"/>
          <w:numId w:val="8"/>
        </w:numPr>
        <w:rPr>
          <w:rFonts w:ascii="Helvetica Neue" w:hAnsi="Helvetica Neue" w:cs="Calibri"/>
          <w:i/>
          <w:sz w:val="22"/>
          <w:szCs w:val="22"/>
        </w:rPr>
      </w:pPr>
      <w:r w:rsidRPr="00A44EB5">
        <w:rPr>
          <w:rFonts w:ascii="Helvetica Neue" w:hAnsi="Helvetica Neue" w:cs="Calibri"/>
          <w:i/>
          <w:sz w:val="22"/>
          <w:szCs w:val="22"/>
        </w:rPr>
        <w:t xml:space="preserve">The ways in which an institution’s provision reflects the diversity of their students’ needs.   </w:t>
      </w:r>
    </w:p>
    <w:p w14:paraId="3F741064" w14:textId="6C163063" w:rsidR="00A44EB5" w:rsidRPr="00A44EB5" w:rsidRDefault="00A44EB5" w:rsidP="001B3202">
      <w:pPr>
        <w:pStyle w:val="ListParagraph"/>
        <w:numPr>
          <w:ilvl w:val="0"/>
          <w:numId w:val="8"/>
        </w:numPr>
        <w:rPr>
          <w:rFonts w:ascii="Helvetica Neue" w:hAnsi="Helvetica Neue" w:cs="Calibri"/>
          <w:i/>
          <w:sz w:val="22"/>
          <w:szCs w:val="22"/>
        </w:rPr>
      </w:pPr>
      <w:r w:rsidRPr="00A44EB5">
        <w:rPr>
          <w:rFonts w:ascii="Helvetica Neue" w:hAnsi="Helvetica Neue" w:cs="Calibri"/>
          <w:i/>
          <w:sz w:val="22"/>
          <w:szCs w:val="22"/>
        </w:rPr>
        <w:t>The levels of teaching intensity and contact time</w:t>
      </w:r>
    </w:p>
    <w:p w14:paraId="62A59408" w14:textId="1F5BF1F6" w:rsidR="00A44EB5" w:rsidRPr="00A44EB5" w:rsidRDefault="00A44EB5" w:rsidP="001B3202">
      <w:pPr>
        <w:pStyle w:val="ListParagraph"/>
        <w:numPr>
          <w:ilvl w:val="0"/>
          <w:numId w:val="8"/>
        </w:numPr>
        <w:rPr>
          <w:rFonts w:ascii="Helvetica Neue" w:hAnsi="Helvetica Neue" w:cs="Calibri"/>
          <w:i/>
          <w:sz w:val="22"/>
          <w:szCs w:val="22"/>
        </w:rPr>
      </w:pPr>
      <w:r w:rsidRPr="00A44EB5">
        <w:rPr>
          <w:rFonts w:ascii="Helvetica Neue" w:hAnsi="Helvetica Neue" w:cs="Calibri"/>
          <w:i/>
          <w:sz w:val="22"/>
          <w:szCs w:val="22"/>
        </w:rPr>
        <w:t xml:space="preserve">The ways in which the institution builds capacity and capability, motivates and engages teaching staff, and supports continued improvement through training, reward and recognition mechanisms, and career progression.   </w:t>
      </w:r>
    </w:p>
    <w:p w14:paraId="052CF098" w14:textId="2A0A14A7" w:rsidR="00A44EB5" w:rsidRPr="00A44EB5" w:rsidRDefault="00A44EB5" w:rsidP="001B3202">
      <w:pPr>
        <w:pStyle w:val="ListParagraph"/>
        <w:numPr>
          <w:ilvl w:val="0"/>
          <w:numId w:val="8"/>
        </w:numPr>
        <w:rPr>
          <w:rFonts w:ascii="Helvetica Neue" w:hAnsi="Helvetica Neue" w:cs="Calibri"/>
          <w:i/>
          <w:sz w:val="22"/>
          <w:szCs w:val="22"/>
        </w:rPr>
      </w:pPr>
      <w:r w:rsidRPr="00A44EB5">
        <w:rPr>
          <w:rFonts w:ascii="Helvetica Neue" w:hAnsi="Helvetica Neue" w:cs="Calibri"/>
          <w:i/>
          <w:sz w:val="22"/>
          <w:szCs w:val="22"/>
        </w:rPr>
        <w:t xml:space="preserve">How institutions ensure that employers get graduates with the skills they need, for example by involving employers, learned societies, and Professional Statutory and Regulatory Bodies (PSRBs) in course and curriculum design, delivery and accreditation.  </w:t>
      </w:r>
    </w:p>
    <w:p w14:paraId="2816AA19" w14:textId="0D052F94" w:rsidR="00A44EB5" w:rsidRPr="00A44EB5" w:rsidRDefault="00A44EB5" w:rsidP="001B3202">
      <w:pPr>
        <w:pStyle w:val="ListParagraph"/>
        <w:numPr>
          <w:ilvl w:val="0"/>
          <w:numId w:val="8"/>
        </w:numPr>
        <w:rPr>
          <w:rFonts w:ascii="Helvetica Neue" w:hAnsi="Helvetica Neue" w:cs="Calibri"/>
          <w:i/>
          <w:sz w:val="22"/>
          <w:szCs w:val="22"/>
        </w:rPr>
      </w:pPr>
      <w:r w:rsidRPr="00A44EB5">
        <w:rPr>
          <w:rFonts w:ascii="Helvetica Neue" w:hAnsi="Helvetica Neue" w:cs="Calibri"/>
          <w:i/>
          <w:sz w:val="22"/>
          <w:szCs w:val="22"/>
        </w:rPr>
        <w:t xml:space="preserve">The institution might also wish to demonstrate how its excellence in teaching is spread throughout the institution.  </w:t>
      </w:r>
    </w:p>
    <w:p w14:paraId="08884160" w14:textId="5A0FDE46" w:rsidR="00A44EB5" w:rsidRPr="00A44EB5" w:rsidRDefault="00A44EB5" w:rsidP="001B3202">
      <w:pPr>
        <w:pStyle w:val="ListParagraph"/>
        <w:numPr>
          <w:ilvl w:val="0"/>
          <w:numId w:val="8"/>
        </w:numPr>
        <w:rPr>
          <w:rFonts w:ascii="Helvetica Neue" w:hAnsi="Helvetica Neue" w:cs="Calibri"/>
          <w:i/>
          <w:sz w:val="22"/>
          <w:szCs w:val="22"/>
        </w:rPr>
      </w:pPr>
      <w:r w:rsidRPr="00A44EB5">
        <w:rPr>
          <w:rFonts w:ascii="Helvetica Neue" w:hAnsi="Helvetica Neue" w:cs="Calibri"/>
          <w:i/>
          <w:sz w:val="22"/>
          <w:szCs w:val="22"/>
        </w:rPr>
        <w:t>Evidence of students helping to shape their programmes of study where appropriate.</w:t>
      </w:r>
    </w:p>
    <w:p w14:paraId="2F627B2A" w14:textId="77777777" w:rsidR="00A44EB5" w:rsidRPr="00A44EB5" w:rsidRDefault="00A44EB5" w:rsidP="00A44EB5">
      <w:pPr>
        <w:ind w:left="360"/>
        <w:rPr>
          <w:rFonts w:ascii="Helvetica Neue" w:hAnsi="Helvetica Neue" w:cs="Calibri"/>
          <w:i/>
          <w:sz w:val="22"/>
          <w:szCs w:val="22"/>
        </w:rPr>
      </w:pPr>
    </w:p>
    <w:p w14:paraId="47BD8D69" w14:textId="77777777" w:rsidR="00A44EB5" w:rsidRPr="00A44EB5" w:rsidRDefault="00A44EB5" w:rsidP="00A44EB5">
      <w:pPr>
        <w:keepNext/>
        <w:widowControl w:val="0"/>
        <w:ind w:left="360"/>
        <w:rPr>
          <w:rFonts w:ascii="Helvetica Neue" w:hAnsi="Helvetica Neue" w:cs="Calibri"/>
          <w:sz w:val="22"/>
          <w:szCs w:val="22"/>
        </w:rPr>
      </w:pPr>
    </w:p>
    <w:p w14:paraId="3B23BEE3" w14:textId="77777777" w:rsidR="002E4F54" w:rsidRPr="002E4F54" w:rsidRDefault="002E4F54" w:rsidP="009455A1">
      <w:pPr>
        <w:keepNext/>
        <w:widowControl w:val="0"/>
        <w:rPr>
          <w:rFonts w:ascii="Helvetica Neue" w:hAnsi="Helvetica Neue" w:cs="Calibri"/>
          <w:sz w:val="22"/>
          <w:szCs w:val="22"/>
        </w:rPr>
      </w:pPr>
    </w:p>
    <w:sectPr w:rsidR="002E4F54" w:rsidRPr="002E4F54" w:rsidSect="004A6E3B">
      <w:headerReference w:type="even" r:id="rId9"/>
      <w:headerReference w:type="default" r:id="rId10"/>
      <w:footerReference w:type="default" r:id="rId11"/>
      <w:headerReference w:type="first" r:id="rId12"/>
      <w:footerReference w:type="first" r:id="rId13"/>
      <w:pgSz w:w="11900" w:h="16840"/>
      <w:pgMar w:top="720" w:right="720" w:bottom="720" w:left="720" w:header="426" w:footer="71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ED6F2" w14:textId="77777777" w:rsidR="002110E2" w:rsidRDefault="002110E2">
      <w:r>
        <w:separator/>
      </w:r>
    </w:p>
  </w:endnote>
  <w:endnote w:type="continuationSeparator" w:id="0">
    <w:p w14:paraId="780466A6" w14:textId="77777777" w:rsidR="002110E2" w:rsidRDefault="0021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55389" w14:textId="77777777" w:rsidR="004A6E3B" w:rsidRPr="004A6E3B" w:rsidRDefault="004A6E3B">
    <w:pPr>
      <w:pStyle w:val="Footer"/>
      <w:jc w:val="center"/>
      <w:rPr>
        <w:rFonts w:ascii="Helvetica Neue" w:hAnsi="Helvetica Neue"/>
        <w:sz w:val="22"/>
        <w:szCs w:val="22"/>
      </w:rPr>
    </w:pPr>
    <w:r w:rsidRPr="004A6E3B">
      <w:rPr>
        <w:rFonts w:ascii="Helvetica Neue" w:hAnsi="Helvetica Neue"/>
        <w:sz w:val="22"/>
        <w:szCs w:val="22"/>
      </w:rPr>
      <w:fldChar w:fldCharType="begin"/>
    </w:r>
    <w:r w:rsidRPr="004A6E3B">
      <w:rPr>
        <w:rFonts w:ascii="Helvetica Neue" w:hAnsi="Helvetica Neue"/>
        <w:sz w:val="22"/>
        <w:szCs w:val="22"/>
      </w:rPr>
      <w:instrText xml:space="preserve"> PAGE   \* MERGEFORMAT </w:instrText>
    </w:r>
    <w:r w:rsidRPr="004A6E3B">
      <w:rPr>
        <w:rFonts w:ascii="Helvetica Neue" w:hAnsi="Helvetica Neue"/>
        <w:sz w:val="22"/>
        <w:szCs w:val="22"/>
      </w:rPr>
      <w:fldChar w:fldCharType="separate"/>
    </w:r>
    <w:r w:rsidR="00E8393F">
      <w:rPr>
        <w:rFonts w:ascii="Helvetica Neue" w:hAnsi="Helvetica Neue"/>
        <w:noProof/>
        <w:sz w:val="22"/>
        <w:szCs w:val="22"/>
      </w:rPr>
      <w:t>4</w:t>
    </w:r>
    <w:r w:rsidRPr="004A6E3B">
      <w:rPr>
        <w:rFonts w:ascii="Helvetica Neue" w:hAnsi="Helvetica Neue"/>
        <w:noProof/>
        <w:sz w:val="22"/>
        <w:szCs w:val="22"/>
      </w:rPr>
      <w:fldChar w:fldCharType="end"/>
    </w:r>
  </w:p>
  <w:p w14:paraId="003292BA" w14:textId="77777777" w:rsidR="003A2B61" w:rsidRPr="00054E86" w:rsidRDefault="003A2B61" w:rsidP="00124B50">
    <w:pPr>
      <w:pStyle w:val="Footer"/>
      <w:tabs>
        <w:tab w:val="clear" w:pos="4320"/>
        <w:tab w:val="clear" w:pos="8640"/>
        <w:tab w:val="left" w:pos="7088"/>
      </w:tabs>
      <w:rPr>
        <w:color w:val="05275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F5438" w14:textId="77777777" w:rsidR="003A2B61" w:rsidRDefault="00F84473" w:rsidP="00124B50">
    <w:pPr>
      <w:pStyle w:val="Footer"/>
      <w:spacing w:after="120"/>
      <w:rPr>
        <w:rFonts w:ascii="Arial" w:hAnsi="Arial" w:cs="Arial"/>
        <w:color w:val="000000"/>
        <w:sz w:val="20"/>
        <w:szCs w:val="20"/>
      </w:rPr>
    </w:pPr>
    <w:r>
      <w:rPr>
        <w:rFonts w:ascii="Arial" w:hAnsi="Arial" w:cs="Arial"/>
        <w:sz w:val="20"/>
        <w:szCs w:val="20"/>
      </w:rPr>
      <w:t xml:space="preserve">Charles Darwin House, 12 Roger Street, London WC1N </w:t>
    </w:r>
    <w:proofErr w:type="gramStart"/>
    <w:r>
      <w:rPr>
        <w:rFonts w:ascii="Arial" w:hAnsi="Arial" w:cs="Arial"/>
        <w:sz w:val="20"/>
        <w:szCs w:val="20"/>
      </w:rPr>
      <w:t>2JU</w:t>
    </w:r>
    <w:r w:rsidR="003A2B61" w:rsidRPr="00124B50">
      <w:rPr>
        <w:rFonts w:ascii="Arial" w:hAnsi="Arial" w:cs="Arial"/>
        <w:sz w:val="20"/>
        <w:szCs w:val="20"/>
      </w:rPr>
      <w:t xml:space="preserve">  Tel</w:t>
    </w:r>
    <w:proofErr w:type="gramEnd"/>
    <w:r w:rsidR="003A2B61" w:rsidRPr="00124B50">
      <w:rPr>
        <w:rFonts w:ascii="Arial" w:hAnsi="Arial" w:cs="Arial"/>
        <w:sz w:val="20"/>
        <w:szCs w:val="20"/>
      </w:rPr>
      <w:t>: +44 (0)20 7</w:t>
    </w:r>
    <w:r>
      <w:rPr>
        <w:rFonts w:ascii="Arial" w:hAnsi="Arial" w:cs="Arial"/>
        <w:sz w:val="20"/>
        <w:szCs w:val="20"/>
      </w:rPr>
      <w:t>685</w:t>
    </w:r>
    <w:r w:rsidR="003A2B61" w:rsidRPr="00124B50">
      <w:rPr>
        <w:rFonts w:ascii="Arial" w:hAnsi="Arial" w:cs="Arial"/>
        <w:sz w:val="20"/>
        <w:szCs w:val="20"/>
      </w:rPr>
      <w:t xml:space="preserve"> </w:t>
    </w:r>
    <w:r>
      <w:rPr>
        <w:rFonts w:ascii="Arial" w:hAnsi="Arial" w:cs="Arial"/>
        <w:sz w:val="20"/>
        <w:szCs w:val="20"/>
      </w:rPr>
      <w:t>2550</w:t>
    </w:r>
    <w:r w:rsidR="003A2B61" w:rsidRPr="00124B50">
      <w:rPr>
        <w:rFonts w:ascii="Arial" w:hAnsi="Arial" w:cs="Arial"/>
        <w:sz w:val="20"/>
        <w:szCs w:val="20"/>
      </w:rPr>
      <w:t xml:space="preserve">  </w:t>
    </w:r>
    <w:r w:rsidR="003A2B61" w:rsidRPr="00124B50">
      <w:rPr>
        <w:rFonts w:ascii="Arial" w:hAnsi="Arial" w:cs="Arial"/>
        <w:color w:val="0000FF"/>
        <w:sz w:val="20"/>
        <w:szCs w:val="20"/>
        <w:u w:val="single"/>
      </w:rPr>
      <w:t>info@</w:t>
    </w:r>
    <w:r w:rsidR="00BD6B64">
      <w:rPr>
        <w:rFonts w:ascii="Arial" w:hAnsi="Arial" w:cs="Arial"/>
        <w:color w:val="0000FF"/>
        <w:sz w:val="20"/>
        <w:szCs w:val="20"/>
        <w:u w:val="single"/>
      </w:rPr>
      <w:t>rsb.org.uk</w:t>
    </w:r>
    <w:r w:rsidR="00BD6B64">
      <w:rPr>
        <w:rFonts w:ascii="Arial" w:hAnsi="Arial" w:cs="Arial"/>
        <w:color w:val="000000"/>
        <w:sz w:val="20"/>
        <w:szCs w:val="20"/>
      </w:rPr>
      <w:t xml:space="preserve">  </w:t>
    </w:r>
    <w:hyperlink r:id="rId1" w:history="1">
      <w:r w:rsidR="00BD6B64" w:rsidRPr="00845B07">
        <w:rPr>
          <w:rStyle w:val="Hyperlink"/>
          <w:rFonts w:ascii="Arial" w:hAnsi="Arial" w:cs="Arial"/>
          <w:sz w:val="20"/>
          <w:szCs w:val="20"/>
        </w:rPr>
        <w:t>www.rsb.org.uk</w:t>
      </w:r>
    </w:hyperlink>
  </w:p>
  <w:p w14:paraId="401EBD03" w14:textId="77777777" w:rsidR="003A2B61" w:rsidRDefault="003A2B61" w:rsidP="00124B50">
    <w:pPr>
      <w:pStyle w:val="Footer"/>
      <w:shd w:val="clear" w:color="auto" w:fill="000090"/>
      <w:ind w:right="30"/>
      <w:rPr>
        <w:rFonts w:ascii="Arial" w:hAnsi="Arial"/>
        <w:color w:val="00AE00"/>
        <w:sz w:val="20"/>
        <w:szCs w:val="20"/>
      </w:rPr>
    </w:pPr>
  </w:p>
  <w:p w14:paraId="7645FFAB" w14:textId="77777777" w:rsidR="003A2B61" w:rsidRDefault="003A2B61" w:rsidP="00124B50">
    <w:pPr>
      <w:pStyle w:val="Footer"/>
      <w:shd w:val="clear" w:color="auto" w:fill="000090"/>
      <w:ind w:right="30"/>
      <w:rPr>
        <w:rFonts w:ascii="Arial" w:hAnsi="Arial"/>
        <w:color w:val="FFFFFF"/>
        <w:sz w:val="20"/>
        <w:szCs w:val="20"/>
      </w:rPr>
    </w:pPr>
    <w:r>
      <w:rPr>
        <w:rFonts w:ascii="Arial" w:hAnsi="Arial"/>
        <w:color w:val="FFFFFF"/>
        <w:sz w:val="20"/>
        <w:szCs w:val="20"/>
      </w:rPr>
      <w:t xml:space="preserve"> Registered Charity No.277981 Incorporated by Royal Charter</w:t>
    </w:r>
  </w:p>
  <w:p w14:paraId="766E2C51" w14:textId="77777777" w:rsidR="003A2B61" w:rsidRDefault="003A2B61" w:rsidP="00124B50">
    <w:pPr>
      <w:pStyle w:val="Footer"/>
      <w:shd w:val="clear" w:color="auto" w:fill="000090"/>
      <w:ind w:right="30"/>
      <w:rPr>
        <w:rFonts w:ascii="Arial" w:hAnsi="Arial"/>
        <w:color w:val="00AE00"/>
        <w:sz w:val="18"/>
        <w:szCs w:val="18"/>
      </w:rPr>
    </w:pPr>
  </w:p>
  <w:p w14:paraId="7BA72086" w14:textId="77777777" w:rsidR="003A2B61" w:rsidRDefault="003A2B61" w:rsidP="00124B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4E885" w14:textId="77777777" w:rsidR="002110E2" w:rsidRDefault="002110E2">
      <w:r>
        <w:separator/>
      </w:r>
    </w:p>
  </w:footnote>
  <w:footnote w:type="continuationSeparator" w:id="0">
    <w:p w14:paraId="1D162F44" w14:textId="77777777" w:rsidR="002110E2" w:rsidRDefault="00211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F98FD" w14:textId="77777777" w:rsidR="003A2B61" w:rsidRDefault="003A2B61" w:rsidP="007732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4CEFB0" w14:textId="77777777" w:rsidR="003A2B61" w:rsidRDefault="003A2B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A5E3B" w14:textId="77777777" w:rsidR="003A2B61" w:rsidRPr="00054E86" w:rsidRDefault="00EB6430" w:rsidP="00124B50">
    <w:pPr>
      <w:pStyle w:val="Header"/>
      <w:tabs>
        <w:tab w:val="clear" w:pos="8640"/>
        <w:tab w:val="left" w:pos="7088"/>
      </w:tabs>
      <w:rPr>
        <w:rFonts w:ascii="Arial" w:hAnsi="Arial"/>
        <w:color w:val="052754"/>
        <w:sz w:val="18"/>
      </w:rPr>
    </w:pPr>
    <w:r>
      <w:rPr>
        <w:rFonts w:ascii="Arial" w:hAnsi="Arial"/>
        <w:noProof/>
        <w:sz w:val="18"/>
      </w:rPr>
      <w:drawing>
        <wp:anchor distT="0" distB="0" distL="114300" distR="114300" simplePos="0" relativeHeight="251660800" behindDoc="0" locked="0" layoutInCell="1" allowOverlap="1" wp14:anchorId="04B6ADF1" wp14:editId="6F3BBAA8">
          <wp:simplePos x="0" y="0"/>
          <wp:positionH relativeFrom="column">
            <wp:posOffset>4758055</wp:posOffset>
          </wp:positionH>
          <wp:positionV relativeFrom="paragraph">
            <wp:posOffset>-207010</wp:posOffset>
          </wp:positionV>
          <wp:extent cx="1628140" cy="7092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140" cy="709295"/>
                  </a:xfrm>
                  <a:prstGeom prst="rect">
                    <a:avLst/>
                  </a:prstGeom>
                </pic:spPr>
              </pic:pic>
            </a:graphicData>
          </a:graphic>
          <wp14:sizeRelH relativeFrom="page">
            <wp14:pctWidth>0</wp14:pctWidth>
          </wp14:sizeRelH>
          <wp14:sizeRelV relativeFrom="page">
            <wp14:pctHeight>0</wp14:pctHeight>
          </wp14:sizeRelV>
        </wp:anchor>
      </w:drawing>
    </w:r>
    <w:r w:rsidR="003A2B61" w:rsidRPr="00054E86">
      <w:rPr>
        <w:rFonts w:ascii="Arial" w:hAnsi="Arial"/>
        <w:sz w:val="18"/>
      </w:rPr>
      <w:tab/>
    </w:r>
    <w:r w:rsidR="003A2B61" w:rsidRPr="00054E86">
      <w:rPr>
        <w:rFonts w:ascii="Arial" w:hAnsi="Arial"/>
        <w:sz w:val="18"/>
      </w:rPr>
      <w:tab/>
    </w:r>
  </w:p>
  <w:p w14:paraId="0A9DB5B5" w14:textId="77777777" w:rsidR="003A2B61" w:rsidRPr="00054E86" w:rsidRDefault="003A2B61" w:rsidP="00124B50">
    <w:pPr>
      <w:pStyle w:val="Header"/>
      <w:tabs>
        <w:tab w:val="clear" w:pos="8640"/>
        <w:tab w:val="left" w:pos="7088"/>
      </w:tabs>
      <w:rPr>
        <w:rFonts w:ascii="Arial" w:hAnsi="Arial"/>
        <w:color w:val="052754"/>
        <w:sz w:val="18"/>
      </w:rPr>
    </w:pPr>
  </w:p>
  <w:p w14:paraId="5F50A40A" w14:textId="77777777" w:rsidR="003A2B61" w:rsidRPr="00054E86" w:rsidRDefault="003A2B61" w:rsidP="00124B50">
    <w:pPr>
      <w:pStyle w:val="Header"/>
      <w:tabs>
        <w:tab w:val="clear" w:pos="8640"/>
        <w:tab w:val="left" w:pos="7088"/>
      </w:tabs>
      <w:rPr>
        <w:rFonts w:ascii="Arial" w:hAnsi="Arial"/>
        <w:color w:val="052754"/>
        <w:sz w:val="18"/>
      </w:rPr>
    </w:pPr>
  </w:p>
  <w:p w14:paraId="33B1F1D2" w14:textId="77777777" w:rsidR="003A2B61" w:rsidRPr="00054E86" w:rsidRDefault="003A2B61" w:rsidP="00124B50">
    <w:pPr>
      <w:pStyle w:val="Header"/>
      <w:tabs>
        <w:tab w:val="clear" w:pos="8640"/>
        <w:tab w:val="left" w:pos="7088"/>
      </w:tabs>
      <w:rPr>
        <w:rFonts w:ascii="Arial" w:hAnsi="Arial"/>
        <w:color w:val="052754"/>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2D299" w14:textId="77777777" w:rsidR="003A2B61" w:rsidRPr="00054E86" w:rsidRDefault="005D56A7" w:rsidP="00124B50">
    <w:pPr>
      <w:pStyle w:val="Header"/>
      <w:tabs>
        <w:tab w:val="clear" w:pos="8640"/>
        <w:tab w:val="left" w:pos="7088"/>
      </w:tabs>
      <w:ind w:left="426"/>
      <w:rPr>
        <w:rFonts w:ascii="Arial" w:hAnsi="Arial"/>
        <w:color w:val="052754"/>
        <w:sz w:val="18"/>
      </w:rPr>
    </w:pPr>
    <w:r>
      <w:rPr>
        <w:rFonts w:ascii="Arial" w:hAnsi="Arial"/>
        <w:noProof/>
        <w:sz w:val="18"/>
      </w:rPr>
      <w:drawing>
        <wp:anchor distT="0" distB="0" distL="114300" distR="114300" simplePos="0" relativeHeight="251658752" behindDoc="0" locked="0" layoutInCell="1" allowOverlap="1" wp14:anchorId="6174C381" wp14:editId="577D0B19">
          <wp:simplePos x="0" y="0"/>
          <wp:positionH relativeFrom="column">
            <wp:posOffset>-120650</wp:posOffset>
          </wp:positionH>
          <wp:positionV relativeFrom="paragraph">
            <wp:posOffset>-158115</wp:posOffset>
          </wp:positionV>
          <wp:extent cx="2667000" cy="11626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7000" cy="1162685"/>
                  </a:xfrm>
                  <a:prstGeom prst="rect">
                    <a:avLst/>
                  </a:prstGeom>
                </pic:spPr>
              </pic:pic>
            </a:graphicData>
          </a:graphic>
          <wp14:sizeRelH relativeFrom="page">
            <wp14:pctWidth>0</wp14:pctWidth>
          </wp14:sizeRelH>
          <wp14:sizeRelV relativeFrom="page">
            <wp14:pctHeight>0</wp14:pctHeight>
          </wp14:sizeRelV>
        </wp:anchor>
      </w:drawing>
    </w:r>
    <w:r w:rsidR="003A2B61" w:rsidRPr="00054E86">
      <w:rPr>
        <w:rFonts w:ascii="Arial" w:hAnsi="Arial"/>
        <w:sz w:val="18"/>
      </w:rPr>
      <w:tab/>
    </w:r>
    <w:r w:rsidR="003A2B61" w:rsidRPr="00054E86">
      <w:rPr>
        <w:rFonts w:ascii="Arial" w:hAnsi="Arial"/>
        <w:sz w:val="18"/>
      </w:rPr>
      <w:tab/>
    </w:r>
  </w:p>
  <w:p w14:paraId="77B62067" w14:textId="77777777" w:rsidR="00E65031" w:rsidRDefault="00E65031" w:rsidP="00124B50">
    <w:pPr>
      <w:pStyle w:val="Header"/>
      <w:ind w:left="426"/>
      <w:jc w:val="right"/>
    </w:pPr>
  </w:p>
  <w:p w14:paraId="2106141E" w14:textId="77777777" w:rsidR="00E65031" w:rsidRDefault="00E65031" w:rsidP="00124B50">
    <w:pPr>
      <w:pStyle w:val="Header"/>
      <w:ind w:left="426"/>
      <w:jc w:val="right"/>
    </w:pPr>
  </w:p>
  <w:p w14:paraId="013E90C1" w14:textId="77777777" w:rsidR="00E65031" w:rsidRDefault="00E65031" w:rsidP="00124B50">
    <w:pPr>
      <w:pStyle w:val="Header"/>
      <w:ind w:left="426"/>
      <w:jc w:val="right"/>
    </w:pPr>
  </w:p>
  <w:p w14:paraId="5843E506" w14:textId="77777777" w:rsidR="00E65031" w:rsidRDefault="00E65031" w:rsidP="00124B50">
    <w:pPr>
      <w:pStyle w:val="Header"/>
      <w:ind w:left="426"/>
      <w:jc w:val="right"/>
    </w:pPr>
  </w:p>
  <w:p w14:paraId="3FB5F7C4" w14:textId="77777777" w:rsidR="00E65031" w:rsidRDefault="00E65031" w:rsidP="00124B50">
    <w:pPr>
      <w:pStyle w:val="Header"/>
      <w:ind w:left="426"/>
      <w:jc w:val="right"/>
    </w:pPr>
  </w:p>
  <w:p w14:paraId="42EEDE50" w14:textId="77777777" w:rsidR="003A2B61" w:rsidRDefault="003C08F9" w:rsidP="00124B50">
    <w:pPr>
      <w:pStyle w:val="Header"/>
      <w:ind w:left="426"/>
      <w:jc w:val="right"/>
    </w:pPr>
    <w:r>
      <w:rPr>
        <w:rFonts w:ascii="Arial" w:hAnsi="Arial"/>
        <w:noProof/>
        <w:sz w:val="18"/>
      </w:rPr>
      <mc:AlternateContent>
        <mc:Choice Requires="wps">
          <w:drawing>
            <wp:anchor distT="0" distB="0" distL="114300" distR="114300" simplePos="0" relativeHeight="251657728" behindDoc="1" locked="0" layoutInCell="1" allowOverlap="1" wp14:anchorId="731F92C0" wp14:editId="1D4DB355">
              <wp:simplePos x="0" y="0"/>
              <wp:positionH relativeFrom="column">
                <wp:posOffset>12065</wp:posOffset>
              </wp:positionH>
              <wp:positionV relativeFrom="paragraph">
                <wp:posOffset>77194</wp:posOffset>
              </wp:positionV>
              <wp:extent cx="6592570" cy="0"/>
              <wp:effectExtent l="0" t="76200" r="17780" b="762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257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7C33DC"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1pt" to="520.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" strokecolor="green" strokeweight="4mm">
              <v:stroke opacity="56283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44CAB"/>
    <w:multiLevelType w:val="hybridMultilevel"/>
    <w:tmpl w:val="0742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300A1B"/>
    <w:multiLevelType w:val="hybridMultilevel"/>
    <w:tmpl w:val="E1B4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4C0163"/>
    <w:multiLevelType w:val="hybridMultilevel"/>
    <w:tmpl w:val="BC78F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4877E0"/>
    <w:multiLevelType w:val="hybridMultilevel"/>
    <w:tmpl w:val="6E4C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61686A"/>
    <w:multiLevelType w:val="hybridMultilevel"/>
    <w:tmpl w:val="0B44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744509"/>
    <w:multiLevelType w:val="hybridMultilevel"/>
    <w:tmpl w:val="4D70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E9189D"/>
    <w:multiLevelType w:val="hybridMultilevel"/>
    <w:tmpl w:val="D082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F72BC5"/>
    <w:multiLevelType w:val="hybridMultilevel"/>
    <w:tmpl w:val="E78C9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E916EA"/>
    <w:multiLevelType w:val="hybridMultilevel"/>
    <w:tmpl w:val="690A0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7"/>
  </w:num>
  <w:num w:numId="5">
    <w:abstractNumId w:val="0"/>
  </w:num>
  <w:num w:numId="6">
    <w:abstractNumId w:val="6"/>
  </w:num>
  <w:num w:numId="7">
    <w:abstractNumId w:val="1"/>
  </w:num>
  <w:num w:numId="8">
    <w:abstractNumId w:val="2"/>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fffefe,#b1e1c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800"/>
    <w:rsid w:val="000174CC"/>
    <w:rsid w:val="000308D4"/>
    <w:rsid w:val="00030AD0"/>
    <w:rsid w:val="0004065F"/>
    <w:rsid w:val="00043DC2"/>
    <w:rsid w:val="00065CC2"/>
    <w:rsid w:val="000853BB"/>
    <w:rsid w:val="000A28D9"/>
    <w:rsid w:val="000B5F11"/>
    <w:rsid w:val="000C557C"/>
    <w:rsid w:val="000D4EC5"/>
    <w:rsid w:val="000E0966"/>
    <w:rsid w:val="000E20A6"/>
    <w:rsid w:val="000E2DCF"/>
    <w:rsid w:val="00122AF3"/>
    <w:rsid w:val="00123CCD"/>
    <w:rsid w:val="00124B50"/>
    <w:rsid w:val="0013314D"/>
    <w:rsid w:val="001448EE"/>
    <w:rsid w:val="00154A4B"/>
    <w:rsid w:val="00185FA1"/>
    <w:rsid w:val="001B09AD"/>
    <w:rsid w:val="001B3202"/>
    <w:rsid w:val="001E5BD7"/>
    <w:rsid w:val="002110E2"/>
    <w:rsid w:val="00220682"/>
    <w:rsid w:val="00233961"/>
    <w:rsid w:val="00261B00"/>
    <w:rsid w:val="002723A7"/>
    <w:rsid w:val="002A5C25"/>
    <w:rsid w:val="002B2C42"/>
    <w:rsid w:val="002B5E71"/>
    <w:rsid w:val="002C05FB"/>
    <w:rsid w:val="002D4979"/>
    <w:rsid w:val="002E4F54"/>
    <w:rsid w:val="002F3DE0"/>
    <w:rsid w:val="0031208D"/>
    <w:rsid w:val="00313000"/>
    <w:rsid w:val="00332B4C"/>
    <w:rsid w:val="00333C80"/>
    <w:rsid w:val="00341373"/>
    <w:rsid w:val="00346481"/>
    <w:rsid w:val="00370684"/>
    <w:rsid w:val="003722CB"/>
    <w:rsid w:val="003A2B61"/>
    <w:rsid w:val="003A5ABA"/>
    <w:rsid w:val="003C08F9"/>
    <w:rsid w:val="003F645B"/>
    <w:rsid w:val="00401720"/>
    <w:rsid w:val="00405965"/>
    <w:rsid w:val="00405FCA"/>
    <w:rsid w:val="00411879"/>
    <w:rsid w:val="00416B50"/>
    <w:rsid w:val="00432BF8"/>
    <w:rsid w:val="00447B2B"/>
    <w:rsid w:val="00451320"/>
    <w:rsid w:val="004546E8"/>
    <w:rsid w:val="00455D8E"/>
    <w:rsid w:val="0047428F"/>
    <w:rsid w:val="004A6E3B"/>
    <w:rsid w:val="004D0579"/>
    <w:rsid w:val="004D36B6"/>
    <w:rsid w:val="004D58E9"/>
    <w:rsid w:val="004E24FA"/>
    <w:rsid w:val="004F0A13"/>
    <w:rsid w:val="004F1D14"/>
    <w:rsid w:val="004F41D9"/>
    <w:rsid w:val="004F758A"/>
    <w:rsid w:val="005109D0"/>
    <w:rsid w:val="00542869"/>
    <w:rsid w:val="005819A3"/>
    <w:rsid w:val="00586414"/>
    <w:rsid w:val="005A6CFC"/>
    <w:rsid w:val="005D4695"/>
    <w:rsid w:val="005D56A7"/>
    <w:rsid w:val="005D6F33"/>
    <w:rsid w:val="005E5800"/>
    <w:rsid w:val="005F7A60"/>
    <w:rsid w:val="005F7F2C"/>
    <w:rsid w:val="006073B6"/>
    <w:rsid w:val="00625A73"/>
    <w:rsid w:val="006279B6"/>
    <w:rsid w:val="0064618E"/>
    <w:rsid w:val="006975FA"/>
    <w:rsid w:val="006A3AAD"/>
    <w:rsid w:val="006C3F09"/>
    <w:rsid w:val="006C5621"/>
    <w:rsid w:val="006D0970"/>
    <w:rsid w:val="006D4AFB"/>
    <w:rsid w:val="006E63C4"/>
    <w:rsid w:val="006F0FBD"/>
    <w:rsid w:val="007274E5"/>
    <w:rsid w:val="00734265"/>
    <w:rsid w:val="0074116D"/>
    <w:rsid w:val="00747C9C"/>
    <w:rsid w:val="0076593E"/>
    <w:rsid w:val="00773209"/>
    <w:rsid w:val="0078121C"/>
    <w:rsid w:val="0078705C"/>
    <w:rsid w:val="007C08F4"/>
    <w:rsid w:val="007E65BB"/>
    <w:rsid w:val="007F1EC8"/>
    <w:rsid w:val="008365E1"/>
    <w:rsid w:val="00851573"/>
    <w:rsid w:val="008525D7"/>
    <w:rsid w:val="00860914"/>
    <w:rsid w:val="00885DA2"/>
    <w:rsid w:val="00885ED7"/>
    <w:rsid w:val="008A2AF0"/>
    <w:rsid w:val="008B72D1"/>
    <w:rsid w:val="008C73DB"/>
    <w:rsid w:val="008D413A"/>
    <w:rsid w:val="00913DF8"/>
    <w:rsid w:val="0092606C"/>
    <w:rsid w:val="009304C5"/>
    <w:rsid w:val="00937340"/>
    <w:rsid w:val="0094166F"/>
    <w:rsid w:val="009455A1"/>
    <w:rsid w:val="00946176"/>
    <w:rsid w:val="009752F1"/>
    <w:rsid w:val="009905B7"/>
    <w:rsid w:val="00992D38"/>
    <w:rsid w:val="009B310B"/>
    <w:rsid w:val="009D0937"/>
    <w:rsid w:val="009F2484"/>
    <w:rsid w:val="009F760A"/>
    <w:rsid w:val="00A03575"/>
    <w:rsid w:val="00A1089A"/>
    <w:rsid w:val="00A12662"/>
    <w:rsid w:val="00A169B2"/>
    <w:rsid w:val="00A44EB5"/>
    <w:rsid w:val="00A528BA"/>
    <w:rsid w:val="00A660A8"/>
    <w:rsid w:val="00A92147"/>
    <w:rsid w:val="00A92BCB"/>
    <w:rsid w:val="00A96831"/>
    <w:rsid w:val="00AB0128"/>
    <w:rsid w:val="00AB1302"/>
    <w:rsid w:val="00AD2269"/>
    <w:rsid w:val="00AE2CC5"/>
    <w:rsid w:val="00AE5F53"/>
    <w:rsid w:val="00B10B7D"/>
    <w:rsid w:val="00B47906"/>
    <w:rsid w:val="00B97AF2"/>
    <w:rsid w:val="00BA543F"/>
    <w:rsid w:val="00BD2CDD"/>
    <w:rsid w:val="00BD5205"/>
    <w:rsid w:val="00BD6B64"/>
    <w:rsid w:val="00BE3EA5"/>
    <w:rsid w:val="00C30D26"/>
    <w:rsid w:val="00C42D94"/>
    <w:rsid w:val="00C46708"/>
    <w:rsid w:val="00C60586"/>
    <w:rsid w:val="00C8473A"/>
    <w:rsid w:val="00C90B7D"/>
    <w:rsid w:val="00CA36B0"/>
    <w:rsid w:val="00CB1573"/>
    <w:rsid w:val="00CD0017"/>
    <w:rsid w:val="00CD5CA1"/>
    <w:rsid w:val="00D615CD"/>
    <w:rsid w:val="00D66747"/>
    <w:rsid w:val="00D80178"/>
    <w:rsid w:val="00D81EE1"/>
    <w:rsid w:val="00D848D9"/>
    <w:rsid w:val="00D9245F"/>
    <w:rsid w:val="00DA686A"/>
    <w:rsid w:val="00DB000C"/>
    <w:rsid w:val="00DF36A6"/>
    <w:rsid w:val="00DF648D"/>
    <w:rsid w:val="00E02708"/>
    <w:rsid w:val="00E0331D"/>
    <w:rsid w:val="00E108AD"/>
    <w:rsid w:val="00E26FC5"/>
    <w:rsid w:val="00E43D6D"/>
    <w:rsid w:val="00E6185F"/>
    <w:rsid w:val="00E64B8D"/>
    <w:rsid w:val="00E65031"/>
    <w:rsid w:val="00E713AE"/>
    <w:rsid w:val="00E8393F"/>
    <w:rsid w:val="00EB6430"/>
    <w:rsid w:val="00EC5653"/>
    <w:rsid w:val="00ED3DA7"/>
    <w:rsid w:val="00ED7663"/>
    <w:rsid w:val="00F056B8"/>
    <w:rsid w:val="00F21CAE"/>
    <w:rsid w:val="00F32EA6"/>
    <w:rsid w:val="00F33494"/>
    <w:rsid w:val="00F40570"/>
    <w:rsid w:val="00F505F0"/>
    <w:rsid w:val="00F569D1"/>
    <w:rsid w:val="00F64BC4"/>
    <w:rsid w:val="00F82531"/>
    <w:rsid w:val="00F82FE9"/>
    <w:rsid w:val="00F84473"/>
    <w:rsid w:val="00F8728A"/>
    <w:rsid w:val="00F92AC1"/>
    <w:rsid w:val="00FA0553"/>
    <w:rsid w:val="00FB161D"/>
    <w:rsid w:val="00FB3C02"/>
    <w:rsid w:val="00FC1A96"/>
    <w:rsid w:val="00FD037B"/>
    <w:rsid w:val="00FD5811"/>
    <w:rsid w:val="00FE617F"/>
    <w:rsid w:val="00FF0123"/>
    <w:rsid w:val="00FF1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ffefe,#b1e1c0"/>
    </o:shapedefaults>
    <o:shapelayout v:ext="edit">
      <o:idmap v:ext="edit" data="1"/>
    </o:shapelayout>
  </w:shapeDefaults>
  <w:doNotEmbedSmartTags/>
  <w:decimalSymbol w:val="."/>
  <w:listSeparator w:val=","/>
  <w14:docId w14:val="6CFD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69"/>
    <w:rPr>
      <w:sz w:val="24"/>
      <w:szCs w:val="24"/>
    </w:rPr>
  </w:style>
  <w:style w:type="paragraph" w:styleId="Heading4">
    <w:name w:val="heading 4"/>
    <w:basedOn w:val="Normal"/>
    <w:qFormat/>
    <w:rsid w:val="00AD2269"/>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link w:val="FooterChar"/>
    <w:uiPriority w:val="99"/>
    <w:rsid w:val="00054E86"/>
    <w:pPr>
      <w:tabs>
        <w:tab w:val="center" w:pos="4320"/>
        <w:tab w:val="right" w:pos="8640"/>
      </w:tabs>
    </w:pPr>
  </w:style>
  <w:style w:type="character" w:styleId="Strong">
    <w:name w:val="Strong"/>
    <w:qFormat/>
    <w:rsid w:val="00AD2269"/>
    <w:rPr>
      <w:rFonts w:cs="Times New Roman"/>
      <w:b/>
      <w:bCs/>
    </w:rPr>
  </w:style>
  <w:style w:type="character" w:styleId="Hyperlink">
    <w:name w:val="Hyperlink"/>
    <w:rsid w:val="00A528BA"/>
    <w:rPr>
      <w:color w:val="0000FF"/>
      <w:u w:val="single"/>
    </w:rPr>
  </w:style>
  <w:style w:type="character" w:styleId="PageNumber">
    <w:name w:val="page number"/>
    <w:basedOn w:val="DefaultParagraphFont"/>
    <w:rsid w:val="00FE617F"/>
  </w:style>
  <w:style w:type="paragraph" w:styleId="ListParagraph">
    <w:name w:val="List Paragraph"/>
    <w:basedOn w:val="Normal"/>
    <w:uiPriority w:val="34"/>
    <w:qFormat/>
    <w:rsid w:val="00FF10CF"/>
    <w:pPr>
      <w:ind w:left="720"/>
    </w:pPr>
  </w:style>
  <w:style w:type="character" w:customStyle="1" w:styleId="FooterChar">
    <w:name w:val="Footer Char"/>
    <w:link w:val="Footer"/>
    <w:uiPriority w:val="99"/>
    <w:rsid w:val="004A6E3B"/>
    <w:rPr>
      <w:sz w:val="24"/>
      <w:szCs w:val="24"/>
    </w:rPr>
  </w:style>
  <w:style w:type="table" w:styleId="TableGrid">
    <w:name w:val="Table Grid"/>
    <w:basedOn w:val="TableNormal"/>
    <w:uiPriority w:val="59"/>
    <w:rsid w:val="00F2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56A7"/>
    <w:rPr>
      <w:rFonts w:ascii="Tahoma" w:hAnsi="Tahoma" w:cs="Tahoma"/>
      <w:sz w:val="16"/>
      <w:szCs w:val="16"/>
    </w:rPr>
  </w:style>
  <w:style w:type="character" w:customStyle="1" w:styleId="BalloonTextChar">
    <w:name w:val="Balloon Text Char"/>
    <w:basedOn w:val="DefaultParagraphFont"/>
    <w:link w:val="BalloonText"/>
    <w:rsid w:val="005D56A7"/>
    <w:rPr>
      <w:rFonts w:ascii="Tahoma" w:hAnsi="Tahoma" w:cs="Tahoma"/>
      <w:sz w:val="16"/>
      <w:szCs w:val="16"/>
    </w:rPr>
  </w:style>
  <w:style w:type="paragraph" w:styleId="NoSpacing">
    <w:name w:val="No Spacing"/>
    <w:uiPriority w:val="1"/>
    <w:qFormat/>
    <w:rsid w:val="0078121C"/>
    <w:rPr>
      <w:rFonts w:ascii="Calibri" w:eastAsia="Calibri" w:hAnsi="Calibri"/>
      <w:sz w:val="22"/>
      <w:szCs w:val="22"/>
      <w:lang w:eastAsia="en-US"/>
    </w:rPr>
  </w:style>
  <w:style w:type="character" w:customStyle="1" w:styleId="wffiletext">
    <w:name w:val="wf_file_text"/>
    <w:basedOn w:val="DefaultParagraphFont"/>
    <w:rsid w:val="00DB000C"/>
  </w:style>
  <w:style w:type="character" w:styleId="Emphasis">
    <w:name w:val="Emphasis"/>
    <w:basedOn w:val="DefaultParagraphFont"/>
    <w:uiPriority w:val="20"/>
    <w:qFormat/>
    <w:rsid w:val="009B310B"/>
    <w:rPr>
      <w:i/>
      <w:iCs/>
    </w:rPr>
  </w:style>
  <w:style w:type="character" w:styleId="CommentReference">
    <w:name w:val="annotation reference"/>
    <w:basedOn w:val="DefaultParagraphFont"/>
    <w:rsid w:val="00E65031"/>
    <w:rPr>
      <w:sz w:val="16"/>
      <w:szCs w:val="16"/>
    </w:rPr>
  </w:style>
  <w:style w:type="paragraph" w:styleId="CommentText">
    <w:name w:val="annotation text"/>
    <w:basedOn w:val="Normal"/>
    <w:link w:val="CommentTextChar"/>
    <w:rsid w:val="00E65031"/>
    <w:rPr>
      <w:sz w:val="20"/>
      <w:szCs w:val="20"/>
    </w:rPr>
  </w:style>
  <w:style w:type="character" w:customStyle="1" w:styleId="CommentTextChar">
    <w:name w:val="Comment Text Char"/>
    <w:basedOn w:val="DefaultParagraphFont"/>
    <w:link w:val="CommentText"/>
    <w:rsid w:val="00E65031"/>
  </w:style>
  <w:style w:type="paragraph" w:styleId="CommentSubject">
    <w:name w:val="annotation subject"/>
    <w:basedOn w:val="CommentText"/>
    <w:next w:val="CommentText"/>
    <w:link w:val="CommentSubjectChar"/>
    <w:rsid w:val="00E65031"/>
    <w:rPr>
      <w:b/>
      <w:bCs/>
    </w:rPr>
  </w:style>
  <w:style w:type="character" w:customStyle="1" w:styleId="CommentSubjectChar">
    <w:name w:val="Comment Subject Char"/>
    <w:basedOn w:val="CommentTextChar"/>
    <w:link w:val="CommentSubject"/>
    <w:rsid w:val="00E65031"/>
    <w:rPr>
      <w:b/>
      <w:bCs/>
    </w:rPr>
  </w:style>
  <w:style w:type="character" w:customStyle="1" w:styleId="xhighlight">
    <w:name w:val="x_highlight"/>
    <w:basedOn w:val="DefaultParagraphFont"/>
    <w:rsid w:val="002E4F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69"/>
    <w:rPr>
      <w:sz w:val="24"/>
      <w:szCs w:val="24"/>
    </w:rPr>
  </w:style>
  <w:style w:type="paragraph" w:styleId="Heading4">
    <w:name w:val="heading 4"/>
    <w:basedOn w:val="Normal"/>
    <w:qFormat/>
    <w:rsid w:val="00AD2269"/>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link w:val="FooterChar"/>
    <w:uiPriority w:val="99"/>
    <w:rsid w:val="00054E86"/>
    <w:pPr>
      <w:tabs>
        <w:tab w:val="center" w:pos="4320"/>
        <w:tab w:val="right" w:pos="8640"/>
      </w:tabs>
    </w:pPr>
  </w:style>
  <w:style w:type="character" w:styleId="Strong">
    <w:name w:val="Strong"/>
    <w:qFormat/>
    <w:rsid w:val="00AD2269"/>
    <w:rPr>
      <w:rFonts w:cs="Times New Roman"/>
      <w:b/>
      <w:bCs/>
    </w:rPr>
  </w:style>
  <w:style w:type="character" w:styleId="Hyperlink">
    <w:name w:val="Hyperlink"/>
    <w:rsid w:val="00A528BA"/>
    <w:rPr>
      <w:color w:val="0000FF"/>
      <w:u w:val="single"/>
    </w:rPr>
  </w:style>
  <w:style w:type="character" w:styleId="PageNumber">
    <w:name w:val="page number"/>
    <w:basedOn w:val="DefaultParagraphFont"/>
    <w:rsid w:val="00FE617F"/>
  </w:style>
  <w:style w:type="paragraph" w:styleId="ListParagraph">
    <w:name w:val="List Paragraph"/>
    <w:basedOn w:val="Normal"/>
    <w:uiPriority w:val="34"/>
    <w:qFormat/>
    <w:rsid w:val="00FF10CF"/>
    <w:pPr>
      <w:ind w:left="720"/>
    </w:pPr>
  </w:style>
  <w:style w:type="character" w:customStyle="1" w:styleId="FooterChar">
    <w:name w:val="Footer Char"/>
    <w:link w:val="Footer"/>
    <w:uiPriority w:val="99"/>
    <w:rsid w:val="004A6E3B"/>
    <w:rPr>
      <w:sz w:val="24"/>
      <w:szCs w:val="24"/>
    </w:rPr>
  </w:style>
  <w:style w:type="table" w:styleId="TableGrid">
    <w:name w:val="Table Grid"/>
    <w:basedOn w:val="TableNormal"/>
    <w:uiPriority w:val="59"/>
    <w:rsid w:val="00F2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56A7"/>
    <w:rPr>
      <w:rFonts w:ascii="Tahoma" w:hAnsi="Tahoma" w:cs="Tahoma"/>
      <w:sz w:val="16"/>
      <w:szCs w:val="16"/>
    </w:rPr>
  </w:style>
  <w:style w:type="character" w:customStyle="1" w:styleId="BalloonTextChar">
    <w:name w:val="Balloon Text Char"/>
    <w:basedOn w:val="DefaultParagraphFont"/>
    <w:link w:val="BalloonText"/>
    <w:rsid w:val="005D56A7"/>
    <w:rPr>
      <w:rFonts w:ascii="Tahoma" w:hAnsi="Tahoma" w:cs="Tahoma"/>
      <w:sz w:val="16"/>
      <w:szCs w:val="16"/>
    </w:rPr>
  </w:style>
  <w:style w:type="paragraph" w:styleId="NoSpacing">
    <w:name w:val="No Spacing"/>
    <w:uiPriority w:val="1"/>
    <w:qFormat/>
    <w:rsid w:val="0078121C"/>
    <w:rPr>
      <w:rFonts w:ascii="Calibri" w:eastAsia="Calibri" w:hAnsi="Calibri"/>
      <w:sz w:val="22"/>
      <w:szCs w:val="22"/>
      <w:lang w:eastAsia="en-US"/>
    </w:rPr>
  </w:style>
  <w:style w:type="character" w:customStyle="1" w:styleId="wffiletext">
    <w:name w:val="wf_file_text"/>
    <w:basedOn w:val="DefaultParagraphFont"/>
    <w:rsid w:val="00DB000C"/>
  </w:style>
  <w:style w:type="character" w:styleId="Emphasis">
    <w:name w:val="Emphasis"/>
    <w:basedOn w:val="DefaultParagraphFont"/>
    <w:uiPriority w:val="20"/>
    <w:qFormat/>
    <w:rsid w:val="009B310B"/>
    <w:rPr>
      <w:i/>
      <w:iCs/>
    </w:rPr>
  </w:style>
  <w:style w:type="character" w:styleId="CommentReference">
    <w:name w:val="annotation reference"/>
    <w:basedOn w:val="DefaultParagraphFont"/>
    <w:rsid w:val="00E65031"/>
    <w:rPr>
      <w:sz w:val="16"/>
      <w:szCs w:val="16"/>
    </w:rPr>
  </w:style>
  <w:style w:type="paragraph" w:styleId="CommentText">
    <w:name w:val="annotation text"/>
    <w:basedOn w:val="Normal"/>
    <w:link w:val="CommentTextChar"/>
    <w:rsid w:val="00E65031"/>
    <w:rPr>
      <w:sz w:val="20"/>
      <w:szCs w:val="20"/>
    </w:rPr>
  </w:style>
  <w:style w:type="character" w:customStyle="1" w:styleId="CommentTextChar">
    <w:name w:val="Comment Text Char"/>
    <w:basedOn w:val="DefaultParagraphFont"/>
    <w:link w:val="CommentText"/>
    <w:rsid w:val="00E65031"/>
  </w:style>
  <w:style w:type="paragraph" w:styleId="CommentSubject">
    <w:name w:val="annotation subject"/>
    <w:basedOn w:val="CommentText"/>
    <w:next w:val="CommentText"/>
    <w:link w:val="CommentSubjectChar"/>
    <w:rsid w:val="00E65031"/>
    <w:rPr>
      <w:b/>
      <w:bCs/>
    </w:rPr>
  </w:style>
  <w:style w:type="character" w:customStyle="1" w:styleId="CommentSubjectChar">
    <w:name w:val="Comment Subject Char"/>
    <w:basedOn w:val="CommentTextChar"/>
    <w:link w:val="CommentSubject"/>
    <w:rsid w:val="00E65031"/>
    <w:rPr>
      <w:b/>
      <w:bCs/>
    </w:rPr>
  </w:style>
  <w:style w:type="character" w:customStyle="1" w:styleId="xhighlight">
    <w:name w:val="x_highlight"/>
    <w:basedOn w:val="DefaultParagraphFont"/>
    <w:rsid w:val="002E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5623">
      <w:bodyDiv w:val="1"/>
      <w:marLeft w:val="0"/>
      <w:marRight w:val="0"/>
      <w:marTop w:val="0"/>
      <w:marBottom w:val="0"/>
      <w:divBdr>
        <w:top w:val="none" w:sz="0" w:space="0" w:color="auto"/>
        <w:left w:val="none" w:sz="0" w:space="0" w:color="auto"/>
        <w:bottom w:val="none" w:sz="0" w:space="0" w:color="auto"/>
        <w:right w:val="none" w:sz="0" w:space="0" w:color="auto"/>
      </w:divBdr>
    </w:div>
    <w:div w:id="626005481">
      <w:bodyDiv w:val="1"/>
      <w:marLeft w:val="0"/>
      <w:marRight w:val="0"/>
      <w:marTop w:val="0"/>
      <w:marBottom w:val="0"/>
      <w:divBdr>
        <w:top w:val="none" w:sz="0" w:space="0" w:color="auto"/>
        <w:left w:val="none" w:sz="0" w:space="0" w:color="auto"/>
        <w:bottom w:val="none" w:sz="0" w:space="0" w:color="auto"/>
        <w:right w:val="none" w:sz="0" w:space="0" w:color="auto"/>
      </w:divBdr>
      <w:divsChild>
        <w:div w:id="38551558">
          <w:marLeft w:val="0"/>
          <w:marRight w:val="0"/>
          <w:marTop w:val="0"/>
          <w:marBottom w:val="0"/>
          <w:divBdr>
            <w:top w:val="none" w:sz="0" w:space="0" w:color="auto"/>
            <w:left w:val="none" w:sz="0" w:space="0" w:color="auto"/>
            <w:bottom w:val="none" w:sz="0" w:space="0" w:color="auto"/>
            <w:right w:val="none" w:sz="0" w:space="0" w:color="auto"/>
          </w:divBdr>
        </w:div>
        <w:div w:id="1226376650">
          <w:marLeft w:val="0"/>
          <w:marRight w:val="0"/>
          <w:marTop w:val="0"/>
          <w:marBottom w:val="0"/>
          <w:divBdr>
            <w:top w:val="none" w:sz="0" w:space="0" w:color="auto"/>
            <w:left w:val="none" w:sz="0" w:space="0" w:color="auto"/>
            <w:bottom w:val="none" w:sz="0" w:space="0" w:color="auto"/>
            <w:right w:val="none" w:sz="0" w:space="0" w:color="auto"/>
          </w:divBdr>
        </w:div>
      </w:divsChild>
    </w:div>
    <w:div w:id="855652677">
      <w:bodyDiv w:val="1"/>
      <w:marLeft w:val="0"/>
      <w:marRight w:val="0"/>
      <w:marTop w:val="0"/>
      <w:marBottom w:val="0"/>
      <w:divBdr>
        <w:top w:val="none" w:sz="0" w:space="0" w:color="auto"/>
        <w:left w:val="none" w:sz="0" w:space="0" w:color="auto"/>
        <w:bottom w:val="none" w:sz="0" w:space="0" w:color="auto"/>
        <w:right w:val="none" w:sz="0" w:space="0" w:color="auto"/>
      </w:divBdr>
    </w:div>
    <w:div w:id="1397894779">
      <w:bodyDiv w:val="1"/>
      <w:marLeft w:val="0"/>
      <w:marRight w:val="0"/>
      <w:marTop w:val="0"/>
      <w:marBottom w:val="0"/>
      <w:divBdr>
        <w:top w:val="none" w:sz="0" w:space="0" w:color="auto"/>
        <w:left w:val="none" w:sz="0" w:space="0" w:color="auto"/>
        <w:bottom w:val="none" w:sz="0" w:space="0" w:color="auto"/>
        <w:right w:val="none" w:sz="0" w:space="0" w:color="auto"/>
      </w:divBdr>
    </w:div>
    <w:div w:id="1436512768">
      <w:bodyDiv w:val="1"/>
      <w:marLeft w:val="0"/>
      <w:marRight w:val="0"/>
      <w:marTop w:val="0"/>
      <w:marBottom w:val="0"/>
      <w:divBdr>
        <w:top w:val="none" w:sz="0" w:space="0" w:color="auto"/>
        <w:left w:val="none" w:sz="0" w:space="0" w:color="auto"/>
        <w:bottom w:val="none" w:sz="0" w:space="0" w:color="auto"/>
        <w:right w:val="none" w:sz="0" w:space="0" w:color="auto"/>
      </w:divBdr>
    </w:div>
    <w:div w:id="16545226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rsb.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rowson\AppData\Local\Microsoft\Windows\Temporary%20Internet%20Files\Content.Outlook\40Q09XGQ\Council%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FAD2D-5B57-491C-9A13-6356492C2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Council paper template</Template>
  <TotalTime>1</TotalTime>
  <Pages>4</Pages>
  <Words>1767</Words>
  <Characters>9899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The Natural Capital Initiative</vt:lpstr>
    </vt:vector>
  </TitlesOfParts>
  <Company>Hewlett-Packard Company</Company>
  <LinksUpToDate>false</LinksUpToDate>
  <CharactersWithSpaces>11643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Natural Capital Initiative</dc:title>
  <dc:creator>Emma Kelson</dc:creator>
  <cp:lastModifiedBy>Ben Connor</cp:lastModifiedBy>
  <cp:revision>2</cp:revision>
  <cp:lastPrinted>2012-09-06T14:30:00Z</cp:lastPrinted>
  <dcterms:created xsi:type="dcterms:W3CDTF">2015-11-23T11:48:00Z</dcterms:created>
  <dcterms:modified xsi:type="dcterms:W3CDTF">2015-11-23T11:48:00Z</dcterms:modified>
</cp:coreProperties>
</file>